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019E" w14:textId="03AC6527" w:rsidR="00287A9E" w:rsidRDefault="00287A9E" w:rsidP="00287A9E">
      <w:pPr>
        <w:widowControl w:val="0"/>
        <w:autoSpaceDE w:val="0"/>
        <w:autoSpaceDN w:val="0"/>
        <w:adjustRightInd w:val="0"/>
        <w:ind w:left="-2410" w:right="-991" w:firstLine="425"/>
        <w:jc w:val="right"/>
        <w:rPr>
          <w:rFonts w:ascii="Tahoma" w:hAnsi="Tahoma" w:cs="Tahoma"/>
        </w:rPr>
      </w:pPr>
    </w:p>
    <w:p w14:paraId="56F2B8EC" w14:textId="77777777" w:rsidR="00D54CEF" w:rsidRDefault="00D54CEF" w:rsidP="00D54CEF">
      <w:pPr>
        <w:tabs>
          <w:tab w:val="left" w:pos="3246"/>
          <w:tab w:val="left" w:pos="5262"/>
        </w:tabs>
        <w:ind w:left="4248"/>
        <w:rPr>
          <w:rFonts w:cstheme="minorHAnsi"/>
          <w:b/>
          <w:bCs/>
          <w:sz w:val="22"/>
          <w:szCs w:val="22"/>
        </w:rPr>
      </w:pPr>
    </w:p>
    <w:p w14:paraId="6FCBA73C" w14:textId="77777777" w:rsidR="00411420" w:rsidRDefault="00411420" w:rsidP="00D54CEF">
      <w:pPr>
        <w:tabs>
          <w:tab w:val="left" w:pos="3246"/>
          <w:tab w:val="left" w:pos="5262"/>
        </w:tabs>
        <w:ind w:left="4248"/>
        <w:rPr>
          <w:rFonts w:cstheme="minorHAnsi"/>
          <w:b/>
          <w:bCs/>
          <w:sz w:val="22"/>
          <w:szCs w:val="22"/>
        </w:rPr>
      </w:pPr>
    </w:p>
    <w:p w14:paraId="391C0F68" w14:textId="5DFE666E" w:rsidR="00B06B52" w:rsidRDefault="00B06B52" w:rsidP="00D54CEF">
      <w:pPr>
        <w:tabs>
          <w:tab w:val="left" w:pos="3246"/>
          <w:tab w:val="left" w:pos="5262"/>
        </w:tabs>
        <w:ind w:left="4248"/>
        <w:rPr>
          <w:rFonts w:cstheme="minorHAnsi"/>
          <w:b/>
          <w:bCs/>
          <w:sz w:val="22"/>
          <w:szCs w:val="22"/>
        </w:rPr>
      </w:pPr>
    </w:p>
    <w:p w14:paraId="38AD0994" w14:textId="12449095" w:rsidR="00D54CEF" w:rsidRPr="00747A3D" w:rsidRDefault="00D54CEF" w:rsidP="00951061">
      <w:pPr>
        <w:tabs>
          <w:tab w:val="left" w:pos="3246"/>
          <w:tab w:val="left" w:pos="5262"/>
        </w:tabs>
        <w:rPr>
          <w:rFonts w:cstheme="minorHAnsi"/>
          <w:b/>
          <w:sz w:val="22"/>
          <w:szCs w:val="22"/>
        </w:rPr>
      </w:pPr>
      <w:r w:rsidRPr="00747A3D">
        <w:rPr>
          <w:rFonts w:cstheme="minorHAnsi"/>
          <w:b/>
          <w:bCs/>
          <w:sz w:val="22"/>
          <w:szCs w:val="22"/>
        </w:rPr>
        <w:t>R</w:t>
      </w:r>
      <w:r w:rsidR="003021E9">
        <w:rPr>
          <w:rFonts w:cstheme="minorHAnsi"/>
          <w:b/>
          <w:bCs/>
          <w:sz w:val="22"/>
          <w:szCs w:val="22"/>
        </w:rPr>
        <w:t>ESOLUCIÓN</w:t>
      </w:r>
      <w:r w:rsidR="00951061">
        <w:rPr>
          <w:rFonts w:cstheme="minorHAnsi"/>
          <w:b/>
          <w:bCs/>
          <w:sz w:val="22"/>
          <w:szCs w:val="22"/>
        </w:rPr>
        <w:t xml:space="preserve"> EXENTA </w:t>
      </w:r>
      <w:proofErr w:type="spellStart"/>
      <w:r w:rsidR="00951061">
        <w:rPr>
          <w:rFonts w:cstheme="minorHAnsi"/>
          <w:b/>
          <w:bCs/>
          <w:sz w:val="22"/>
          <w:szCs w:val="22"/>
        </w:rPr>
        <w:t>N°</w:t>
      </w:r>
      <w:proofErr w:type="spellEnd"/>
    </w:p>
    <w:p w14:paraId="4790875B" w14:textId="77777777" w:rsidR="00D54CEF" w:rsidRPr="00747A3D" w:rsidRDefault="00D54CEF" w:rsidP="00D54CEF">
      <w:pPr>
        <w:ind w:left="4964" w:hanging="710"/>
        <w:jc w:val="both"/>
        <w:rPr>
          <w:rFonts w:cstheme="minorHAnsi"/>
          <w:b/>
          <w:sz w:val="22"/>
          <w:szCs w:val="22"/>
        </w:rPr>
      </w:pPr>
    </w:p>
    <w:p w14:paraId="1F334F76" w14:textId="77777777" w:rsidR="006D194D" w:rsidRDefault="00D54CEF" w:rsidP="00951061">
      <w:pPr>
        <w:ind w:left="710" w:hanging="710"/>
        <w:jc w:val="both"/>
        <w:rPr>
          <w:rFonts w:cstheme="minorHAnsi"/>
          <w:b/>
          <w:sz w:val="22"/>
          <w:szCs w:val="22"/>
        </w:rPr>
      </w:pPr>
      <w:r w:rsidRPr="00747A3D">
        <w:rPr>
          <w:rFonts w:cstheme="minorHAnsi"/>
          <w:b/>
          <w:sz w:val="22"/>
          <w:szCs w:val="22"/>
        </w:rPr>
        <w:t>VALPARAÍSO,</w:t>
      </w:r>
    </w:p>
    <w:p w14:paraId="145E570B" w14:textId="77777777" w:rsidR="006D194D" w:rsidRDefault="006D194D" w:rsidP="00D54CEF">
      <w:pPr>
        <w:ind w:left="4964" w:hanging="710"/>
        <w:jc w:val="both"/>
        <w:rPr>
          <w:rFonts w:cstheme="minorHAnsi"/>
          <w:b/>
          <w:sz w:val="22"/>
          <w:szCs w:val="22"/>
        </w:rPr>
      </w:pPr>
    </w:p>
    <w:p w14:paraId="0EA59BD5" w14:textId="22342437" w:rsidR="00D54CEF" w:rsidRPr="00747A3D" w:rsidRDefault="006D194D" w:rsidP="00951061">
      <w:pPr>
        <w:ind w:left="710" w:hanging="71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VISTO</w:t>
      </w:r>
      <w:r w:rsidR="00A5659E">
        <w:rPr>
          <w:rFonts w:cstheme="minorHAnsi"/>
          <w:b/>
          <w:sz w:val="22"/>
          <w:szCs w:val="22"/>
        </w:rPr>
        <w:t>S</w:t>
      </w:r>
      <w:r>
        <w:rPr>
          <w:rFonts w:cstheme="minorHAnsi"/>
          <w:b/>
          <w:sz w:val="22"/>
          <w:szCs w:val="22"/>
        </w:rPr>
        <w:t>:</w:t>
      </w:r>
      <w:r w:rsidR="00D54CEF" w:rsidRPr="00747A3D">
        <w:rPr>
          <w:rFonts w:cstheme="minorHAnsi"/>
          <w:b/>
          <w:sz w:val="22"/>
          <w:szCs w:val="22"/>
        </w:rPr>
        <w:t xml:space="preserve"> </w:t>
      </w:r>
    </w:p>
    <w:p w14:paraId="0257F1D4" w14:textId="77777777" w:rsidR="00D54CEF" w:rsidRDefault="00D54CEF" w:rsidP="00D54CEF">
      <w:pPr>
        <w:ind w:left="4964" w:hanging="710"/>
        <w:jc w:val="both"/>
        <w:rPr>
          <w:rFonts w:cstheme="minorHAnsi"/>
          <w:sz w:val="22"/>
          <w:szCs w:val="22"/>
        </w:rPr>
      </w:pPr>
    </w:p>
    <w:p w14:paraId="1C615ABE" w14:textId="77777777" w:rsidR="006D194D" w:rsidRDefault="006D194D" w:rsidP="006D194D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6D194D">
        <w:rPr>
          <w:rFonts w:ascii="Calibri Light" w:eastAsia="Times New Roman" w:hAnsi="Calibri Light" w:cs="Calibri Light"/>
          <w:sz w:val="22"/>
          <w:szCs w:val="22"/>
          <w:lang w:eastAsia="es-CL"/>
        </w:rPr>
        <w:t>El artículo 1° del Decreto con fuerza de Ley N°30, de 2004 que aprueba el texto refundido, coordinado y sistematizado del Decreto con Fuerza de Ley N°213, de 1953, sobre Ordenanza de Aduanas, ambos del Ministerio de Hacienda, en virtud del cual corresponde al Servicio Nacional de Aduanas, la función de vigilar y fiscalizar el paso de mercancías por las costas, fronteras y aeropuertos de la República, intervenir en el tráfico internacional para los efectos de la recaudación de los impuestos a la importación, exportación y otros que determinen las leyes, y de generar las estadísticas de ese tráfico por las fronteras, sin perjuicio de las demás funciones que le encomienden las leyes.</w:t>
      </w:r>
    </w:p>
    <w:p w14:paraId="063C1986" w14:textId="77777777" w:rsidR="003021E9" w:rsidRDefault="003021E9" w:rsidP="006D194D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05FDA3EE" w14:textId="77777777" w:rsidR="003021E9" w:rsidRPr="003021E9" w:rsidRDefault="003021E9" w:rsidP="003021E9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El artículo 55° de la Ordenanza de Aduanas que indica que toda mercancía presentada a la Aduana permanecerá en los recintos de depósito aduanero hasta el momento del retiro para su importación, exportación u otra destinación aduanera.</w:t>
      </w:r>
    </w:p>
    <w:p w14:paraId="5BC7D02A" w14:textId="77777777" w:rsidR="003021E9" w:rsidRDefault="003021E9" w:rsidP="003021E9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404442B3" w14:textId="3EA1AF1D" w:rsidR="003021E9" w:rsidRDefault="003021E9" w:rsidP="003021E9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El artículo 77° del mismo cuerpo legal donde establece que el </w:t>
      </w:r>
      <w:proofErr w:type="gramStart"/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Director Nacional</w:t>
      </w:r>
      <w:proofErr w:type="gramEnd"/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 Aduanas señalará los documentos, </w:t>
      </w:r>
      <w:proofErr w:type="spellStart"/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visaciones</w:t>
      </w:r>
      <w:proofErr w:type="spellEnd"/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o exigencias que se requieran para la tramitación de las destinaciones aduaneras de acuerdo con las normas legales y reglamentarias.</w:t>
      </w:r>
    </w:p>
    <w:p w14:paraId="3C5433AD" w14:textId="77777777" w:rsidR="003021E9" w:rsidRDefault="003021E9" w:rsidP="003021E9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4B05D168" w14:textId="0F21508F" w:rsidR="003021E9" w:rsidRPr="006D194D" w:rsidRDefault="003021E9" w:rsidP="003021E9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La Resolución N°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3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438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del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13.09.2024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l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a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proofErr w:type="gramStart"/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Director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a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Nacional</w:t>
      </w:r>
      <w:proofErr w:type="gramEnd"/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 Aduanas, que reemplazó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el Apéndice VIII del Capítulo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3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del Compendio de Normas Aduaner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a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s</w:t>
      </w:r>
      <w:r w:rsidR="00AD40CA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y estableció un </w:t>
      </w:r>
      <w:r w:rsidR="00AD40CA" w:rsidRPr="00AD40CA">
        <w:rPr>
          <w:rFonts w:ascii="Calibri Light" w:eastAsia="Times New Roman" w:hAnsi="Calibri Light" w:cs="Calibri Light"/>
          <w:sz w:val="22"/>
          <w:szCs w:val="22"/>
          <w:lang w:eastAsia="es-CL"/>
        </w:rPr>
        <w:t>Plan Piloto, para ajustes y familiarización por parte de Operadores de Contenedores, Almacenistas, Terminales Portuarios, Extraportuarios y Depósitos de Contenedores, del nuevo procedimiento de control aduanero HERMES. El cual consiste en el control de ingreso al país de los contenedores, con y sin carga, en el proceso de importación, como, asimismo, el ingreso a la zona primaria de los contenedores, con carga y sin carga, en el proceso de exportación</w:t>
      </w:r>
      <w:r w:rsidRPr="003021E9"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</w:p>
    <w:p w14:paraId="207379A1" w14:textId="77777777" w:rsidR="006D194D" w:rsidRDefault="006D194D" w:rsidP="00D54CEF">
      <w:pPr>
        <w:ind w:left="4964" w:hanging="710"/>
        <w:jc w:val="both"/>
        <w:rPr>
          <w:rFonts w:cstheme="minorHAnsi"/>
          <w:b/>
          <w:bCs/>
          <w:sz w:val="22"/>
          <w:szCs w:val="22"/>
        </w:rPr>
      </w:pPr>
    </w:p>
    <w:p w14:paraId="02E51561" w14:textId="0C1C33AD" w:rsidR="00D54CEF" w:rsidRPr="006D194D" w:rsidRDefault="006D194D" w:rsidP="00951061">
      <w:pPr>
        <w:ind w:left="710" w:hanging="710"/>
        <w:jc w:val="both"/>
        <w:rPr>
          <w:rFonts w:cstheme="minorHAnsi"/>
          <w:b/>
          <w:bCs/>
          <w:sz w:val="22"/>
          <w:szCs w:val="22"/>
        </w:rPr>
      </w:pPr>
      <w:r w:rsidRPr="006D194D">
        <w:rPr>
          <w:rFonts w:cstheme="minorHAnsi"/>
          <w:b/>
          <w:bCs/>
          <w:sz w:val="22"/>
          <w:szCs w:val="22"/>
        </w:rPr>
        <w:t>CONSIDERANDO:</w:t>
      </w:r>
    </w:p>
    <w:p w14:paraId="7E6F7C56" w14:textId="77777777" w:rsidR="00D54CEF" w:rsidRPr="00747A3D" w:rsidRDefault="00D54CEF" w:rsidP="00D54CEF">
      <w:pPr>
        <w:tabs>
          <w:tab w:val="center" w:pos="426"/>
        </w:tabs>
        <w:spacing w:line="259" w:lineRule="auto"/>
        <w:ind w:left="-15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</w:p>
    <w:p w14:paraId="52C26067" w14:textId="5FA87A8F" w:rsidR="00D71B51" w:rsidRDefault="00D71B51" w:rsidP="00D71B51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E979F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Que, producto de la constante revisión, actualización y mejora continua de los procesos y normas aduaneras se identificó la necesidad de complementar el actual mecanismo de autocontrol que mantienen, los Operadores de Contenedores a través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del Sistema H</w:t>
      </w:r>
      <w:r w:rsidR="00491BA1">
        <w:rPr>
          <w:rFonts w:ascii="Calibri Light" w:eastAsia="Times New Roman" w:hAnsi="Calibri Light" w:cs="Calibri Light"/>
          <w:sz w:val="22"/>
          <w:szCs w:val="22"/>
          <w:lang w:eastAsia="es-CL"/>
        </w:rPr>
        <w:t>ermes</w:t>
      </w:r>
      <w:r w:rsidRPr="00E979F2">
        <w:rPr>
          <w:rFonts w:ascii="Calibri Light" w:eastAsia="Times New Roman" w:hAnsi="Calibri Light" w:cs="Calibri Light"/>
          <w:sz w:val="22"/>
          <w:szCs w:val="22"/>
          <w:lang w:eastAsia="es-CL"/>
        </w:rPr>
        <w:t>, mediante mensajería electrónica</w:t>
      </w:r>
      <w:r w:rsidRPr="00FE3228"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</w:p>
    <w:p w14:paraId="1394E92F" w14:textId="77777777" w:rsidR="00D71B51" w:rsidRDefault="00D71B51" w:rsidP="00FE3228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3E702B75" w14:textId="1AF8659A" w:rsidR="00E979F2" w:rsidRPr="00FE3228" w:rsidRDefault="00E979F2" w:rsidP="00FE3228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Que, a</w:t>
      </w:r>
      <w:r w:rsidRPr="00E979F2">
        <w:rPr>
          <w:rFonts w:ascii="Calibri Light" w:eastAsia="Times New Roman" w:hAnsi="Calibri Light" w:cs="Calibri Light"/>
          <w:sz w:val="22"/>
          <w:szCs w:val="22"/>
          <w:lang w:eastAsia="es-CL"/>
        </w:rPr>
        <w:t>l no contar con una gestión integral de procesos interrelacionados púb</w:t>
      </w:r>
      <w:r w:rsidR="000B1B2A">
        <w:rPr>
          <w:rFonts w:ascii="Calibri Light" w:eastAsia="Times New Roman" w:hAnsi="Calibri Light" w:cs="Calibri Light"/>
          <w:sz w:val="22"/>
          <w:szCs w:val="22"/>
          <w:lang w:eastAsia="es-CL"/>
        </w:rPr>
        <w:t>l</w:t>
      </w:r>
      <w:r w:rsidRPr="00E979F2">
        <w:rPr>
          <w:rFonts w:ascii="Calibri Light" w:eastAsia="Times New Roman" w:hAnsi="Calibri Light" w:cs="Calibri Light"/>
          <w:sz w:val="22"/>
          <w:szCs w:val="22"/>
          <w:lang w:eastAsia="es-CL"/>
        </w:rPr>
        <w:t>icos y privados de trazabilidad de contenedores, existen situaciones donde se han despachado estas unidades sin control aduanero, debido a que no se dispone de información a nivel de sistemas y en tiempo real que permita mitigar este tipo de eventos.</w:t>
      </w:r>
    </w:p>
    <w:p w14:paraId="4399702C" w14:textId="77777777" w:rsidR="00D71B51" w:rsidRDefault="00D71B51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46159410" w14:textId="584A6F4D" w:rsidR="0079106B" w:rsidRDefault="00D71B51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Que, producto de lo anterior,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061ABF"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surge la necesidad de </w:t>
      </w:r>
      <w:r w:rsidR="00024848"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>m</w:t>
      </w:r>
      <w:r w:rsidRPr="00D71B51">
        <w:rPr>
          <w:rFonts w:ascii="Calibri Light" w:eastAsia="Times New Roman" w:hAnsi="Calibri Light" w:cs="Calibri Light"/>
          <w:sz w:val="22"/>
          <w:szCs w:val="22"/>
          <w:lang w:eastAsia="es-CL"/>
        </w:rPr>
        <w:t>ejorar el control del despacho seguro de cargas, mediante un proceso automatizado e integrado con los actores del comercio exterior que realizan manejo de contenedores que permita bloquear y/o evitar en línea el despacho de contenedores sin los controles aduaneros realizados. En la cadena logística asociada al transporte de contenedores participan Operadores de Contenedores, Almacenistas, Depósitos de Contenedores y Fronteras Terrestres</w:t>
      </w:r>
      <w:r w:rsidR="0079106B"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</w:p>
    <w:p w14:paraId="11DD8AC3" w14:textId="77777777" w:rsidR="0079106B" w:rsidRDefault="0079106B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313AE705" w14:textId="77777777" w:rsidR="0079106B" w:rsidRDefault="0079106B">
      <w:pPr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br w:type="page"/>
      </w:r>
    </w:p>
    <w:p w14:paraId="792A6FF3" w14:textId="79B50983" w:rsidR="00D71B51" w:rsidRDefault="00D71B51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lastRenderedPageBreak/>
        <w:t xml:space="preserve"> </w:t>
      </w:r>
    </w:p>
    <w:p w14:paraId="6CC59EAC" w14:textId="77777777" w:rsidR="0079106B" w:rsidRDefault="0079106B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5A18E04" w14:textId="77777777" w:rsidR="0079106B" w:rsidRDefault="0079106B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71E3921B" w14:textId="77777777" w:rsidR="0079106B" w:rsidRDefault="0079106B" w:rsidP="00E979F2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FD65A74" w14:textId="77777777" w:rsidR="0079106B" w:rsidRPr="0079106B" w:rsidRDefault="0079106B" w:rsidP="00951061">
      <w:pPr>
        <w:ind w:left="710" w:hanging="710"/>
        <w:jc w:val="both"/>
        <w:rPr>
          <w:rFonts w:cstheme="minorHAnsi"/>
          <w:b/>
          <w:bCs/>
          <w:sz w:val="22"/>
          <w:szCs w:val="22"/>
        </w:rPr>
      </w:pPr>
      <w:r w:rsidRPr="0079106B">
        <w:rPr>
          <w:rFonts w:cstheme="minorHAnsi"/>
          <w:b/>
          <w:bCs/>
          <w:sz w:val="22"/>
          <w:szCs w:val="22"/>
        </w:rPr>
        <w:t xml:space="preserve">TENIENDO PRESENTE: </w:t>
      </w:r>
    </w:p>
    <w:p w14:paraId="721A78BA" w14:textId="77777777" w:rsidR="0079106B" w:rsidRDefault="0079106B" w:rsidP="0079106B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51877BE8" w14:textId="1048139F" w:rsidR="0079106B" w:rsidRDefault="0079106B" w:rsidP="0079106B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79106B">
        <w:rPr>
          <w:rFonts w:ascii="Calibri Light" w:eastAsia="Times New Roman" w:hAnsi="Calibri Light" w:cs="Calibri Light"/>
          <w:sz w:val="22"/>
          <w:szCs w:val="22"/>
          <w:lang w:eastAsia="es-CL"/>
        </w:rPr>
        <w:t>Lo dispuesto en el artículo 4°, números 7, 8 y 29, del D.F.L N°329, de 1979, del Ministerio de Hacienda –Ley Orgánica del Servicio Nacional de Aduanas–; y, las Resoluciones N°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36</w:t>
      </w:r>
      <w:r w:rsidRPr="0079106B">
        <w:rPr>
          <w:rFonts w:ascii="Calibri Light" w:eastAsia="Times New Roman" w:hAnsi="Calibri Light" w:cs="Calibri Light"/>
          <w:sz w:val="22"/>
          <w:szCs w:val="22"/>
          <w:lang w:eastAsia="es-CL"/>
        </w:rPr>
        <w:t>, de 20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24</w:t>
      </w:r>
      <w:r w:rsidRPr="0079106B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y N°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8</w:t>
      </w:r>
      <w:r w:rsidRPr="0079106B">
        <w:rPr>
          <w:rFonts w:ascii="Calibri Light" w:eastAsia="Times New Roman" w:hAnsi="Calibri Light" w:cs="Calibri Light"/>
          <w:sz w:val="22"/>
          <w:szCs w:val="22"/>
          <w:lang w:eastAsia="es-CL"/>
        </w:rPr>
        <w:t>, de 202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5</w:t>
      </w:r>
      <w:r w:rsidRPr="0079106B">
        <w:rPr>
          <w:rFonts w:ascii="Calibri Light" w:eastAsia="Times New Roman" w:hAnsi="Calibri Light" w:cs="Calibri Light"/>
          <w:sz w:val="22"/>
          <w:szCs w:val="22"/>
          <w:lang w:eastAsia="es-CL"/>
        </w:rPr>
        <w:t>, ambas de la Contraloría General de la República, sobre exención del trámite de Toma de Razón, dicto la siguiente:</w:t>
      </w:r>
    </w:p>
    <w:p w14:paraId="3542003B" w14:textId="77777777" w:rsidR="0079106B" w:rsidRDefault="0079106B" w:rsidP="0079106B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331992BC" w14:textId="77777777" w:rsidR="0079106B" w:rsidRDefault="0079106B" w:rsidP="0079106B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2F19149A" w14:textId="77777777" w:rsidR="0079106B" w:rsidRPr="0079106B" w:rsidRDefault="0079106B" w:rsidP="00951061">
      <w:pPr>
        <w:ind w:left="710" w:hanging="710"/>
        <w:jc w:val="both"/>
        <w:rPr>
          <w:rFonts w:cstheme="minorHAnsi"/>
          <w:b/>
          <w:bCs/>
          <w:sz w:val="22"/>
          <w:szCs w:val="22"/>
        </w:rPr>
      </w:pPr>
      <w:r w:rsidRPr="0079106B">
        <w:rPr>
          <w:rFonts w:cstheme="minorHAnsi"/>
          <w:b/>
          <w:bCs/>
          <w:sz w:val="22"/>
          <w:szCs w:val="22"/>
        </w:rPr>
        <w:t>RESOLUCIÓN:</w:t>
      </w:r>
    </w:p>
    <w:p w14:paraId="5E3801F5" w14:textId="77777777" w:rsidR="0079106B" w:rsidRDefault="0079106B" w:rsidP="0079106B">
      <w:p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7C818E7B" w14:textId="462796BD" w:rsidR="0079106B" w:rsidRDefault="0079106B" w:rsidP="00024848">
      <w:pPr>
        <w:pStyle w:val="Prrafodelista"/>
        <w:numPr>
          <w:ilvl w:val="0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024848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PÓNGASE EN MARCHA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, </w:t>
      </w:r>
      <w:r w:rsidR="00D770C4">
        <w:rPr>
          <w:rFonts w:ascii="Calibri Light" w:eastAsia="Times New Roman" w:hAnsi="Calibri Light" w:cs="Calibri Light"/>
          <w:sz w:val="22"/>
          <w:szCs w:val="22"/>
          <w:lang w:eastAsia="es-CL"/>
        </w:rPr>
        <w:t>a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contar de la fecha de publicación de la presente </w:t>
      </w:r>
      <w:r w:rsidR="00DD1AF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resolución, a </w:t>
      </w:r>
      <w:r w:rsidR="00BD34B9">
        <w:rPr>
          <w:rFonts w:ascii="Calibri Light" w:eastAsia="Times New Roman" w:hAnsi="Calibri Light" w:cs="Calibri Light"/>
          <w:sz w:val="22"/>
          <w:szCs w:val="22"/>
          <w:lang w:eastAsia="es-CL"/>
        </w:rPr>
        <w:t>la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BD34B9">
        <w:rPr>
          <w:rFonts w:ascii="Calibri Light" w:eastAsia="Times New Roman" w:hAnsi="Calibri Light" w:cs="Calibri Light"/>
          <w:sz w:val="22"/>
          <w:szCs w:val="22"/>
          <w:lang w:eastAsia="es-CL"/>
        </w:rPr>
        <w:t>fase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</w:t>
      </w:r>
      <w:r w:rsidR="00006684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006684" w:rsidRPr="00006684">
        <w:rPr>
          <w:rFonts w:ascii="Calibri Light" w:eastAsia="Times New Roman" w:hAnsi="Calibri Light" w:cs="Calibri Light"/>
          <w:sz w:val="22"/>
          <w:szCs w:val="22"/>
          <w:lang w:eastAsia="es-CL"/>
        </w:rPr>
        <w:t>Integración de</w:t>
      </w:r>
      <w:r w:rsidR="00520037">
        <w:rPr>
          <w:rFonts w:ascii="Calibri Light" w:eastAsia="Times New Roman" w:hAnsi="Calibri Light" w:cs="Calibri Light"/>
          <w:sz w:val="22"/>
          <w:szCs w:val="22"/>
          <w:lang w:eastAsia="es-CL"/>
        </w:rPr>
        <w:t>l</w:t>
      </w:r>
      <w:r w:rsidR="00006684" w:rsidRPr="00006684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006684">
        <w:rPr>
          <w:rFonts w:ascii="Calibri Light" w:eastAsia="Times New Roman" w:hAnsi="Calibri Light" w:cs="Calibri Light"/>
          <w:sz w:val="22"/>
          <w:szCs w:val="22"/>
          <w:lang w:eastAsia="es-CL"/>
        </w:rPr>
        <w:t>Sistema Hermes</w:t>
      </w:r>
      <w:r w:rsidR="0052003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con los </w:t>
      </w:r>
      <w:r w:rsidR="00006684" w:rsidRPr="00006684">
        <w:rPr>
          <w:rFonts w:ascii="Calibri Light" w:eastAsia="Times New Roman" w:hAnsi="Calibri Light" w:cs="Calibri Light"/>
          <w:sz w:val="22"/>
          <w:szCs w:val="22"/>
          <w:lang w:eastAsia="es-CL"/>
        </w:rPr>
        <w:t>Almacenistas</w:t>
      </w:r>
      <w:r w:rsidR="0052003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y que</w:t>
      </w:r>
      <w:r w:rsidR="00520037" w:rsidRPr="00520037">
        <w:t xml:space="preserve"> </w:t>
      </w:r>
      <w:r w:rsidR="00520037" w:rsidRPr="0052003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dispondrá de las especificaciones de la transmisión de datos, mensajería, del ambiente de pruebas </w:t>
      </w:r>
      <w:r w:rsidR="00520037">
        <w:rPr>
          <w:rFonts w:ascii="Calibri Light" w:eastAsia="Times New Roman" w:hAnsi="Calibri Light" w:cs="Calibri Light"/>
          <w:sz w:val="22"/>
          <w:szCs w:val="22"/>
          <w:lang w:eastAsia="es-CL"/>
        </w:rPr>
        <w:t>y comprende las etapas de “Plan Piloto”</w:t>
      </w:r>
      <w:r w:rsidR="00DD1AF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y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520037">
        <w:rPr>
          <w:rFonts w:ascii="Calibri Light" w:eastAsia="Times New Roman" w:hAnsi="Calibri Light" w:cs="Calibri Light"/>
          <w:sz w:val="22"/>
          <w:szCs w:val="22"/>
          <w:lang w:eastAsia="es-CL"/>
        </w:rPr>
        <w:t>“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pruebas de conectividad</w:t>
      </w:r>
      <w:r w:rsidR="00DD1AF2">
        <w:rPr>
          <w:rFonts w:ascii="Calibri Light" w:eastAsia="Times New Roman" w:hAnsi="Calibri Light" w:cs="Calibri Light"/>
          <w:sz w:val="22"/>
          <w:szCs w:val="22"/>
          <w:lang w:eastAsia="es-CL"/>
        </w:rPr>
        <w:t>”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</w:p>
    <w:p w14:paraId="75A8EDA8" w14:textId="77777777" w:rsidR="00024848" w:rsidRPr="00024848" w:rsidRDefault="00024848" w:rsidP="00024848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76893750" w14:textId="0F5B537B" w:rsidR="00024848" w:rsidRPr="00024848" w:rsidRDefault="00024848" w:rsidP="00024848">
      <w:pPr>
        <w:pStyle w:val="Prrafodelista"/>
        <w:numPr>
          <w:ilvl w:val="0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356F26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ESTABL</w:t>
      </w:r>
      <w:r w:rsidR="00356F26" w:rsidRPr="00356F26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É</w:t>
      </w:r>
      <w:r w:rsidRPr="00356F26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CESE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, a contar de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l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>a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514A05"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fecha de publicación de la presente 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>resolución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="00514A05"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como Plan Piloto, por un período de </w:t>
      </w:r>
      <w:r w:rsidR="00D770C4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45</w:t>
      </w:r>
      <w:r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días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corridos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para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836A78">
        <w:rPr>
          <w:rFonts w:ascii="Calibri Light" w:eastAsia="Times New Roman" w:hAnsi="Calibri Light" w:cs="Calibri Light"/>
          <w:sz w:val="22"/>
          <w:szCs w:val="22"/>
          <w:lang w:eastAsia="es-CL"/>
        </w:rPr>
        <w:t>desarrollo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0B1B2A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pruebas, 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ajustes y familiarización por parte de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los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Almacenistas de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l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>a nueva etapa, que complementa a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l 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actual sistema HERMES y que 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consiste en el </w:t>
      </w:r>
      <w:r w:rsidR="00836A78">
        <w:rPr>
          <w:rFonts w:ascii="Calibri Light" w:eastAsia="Times New Roman" w:hAnsi="Calibri Light" w:cs="Calibri Light"/>
          <w:sz w:val="22"/>
          <w:szCs w:val="22"/>
          <w:lang w:eastAsia="es-CL"/>
        </w:rPr>
        <w:t>módulo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Pr="00D71B51">
        <w:rPr>
          <w:rFonts w:ascii="Calibri Light" w:eastAsia="Times New Roman" w:hAnsi="Calibri Light" w:cs="Calibri Light"/>
          <w:sz w:val="22"/>
          <w:szCs w:val="22"/>
          <w:lang w:eastAsia="es-CL"/>
        </w:rPr>
        <w:t>que permit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>e</w:t>
      </w:r>
      <w:r w:rsidRPr="00D71B51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bloquear y/o evitar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Pr="00D71B51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en línea</w:t>
      </w:r>
      <w:r w:rsidR="00356F26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Pr="00D71B51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el despacho de contenedores sin los controles aduaneros realizados</w:t>
      </w:r>
      <w:r w:rsidRPr="00024848">
        <w:rPr>
          <w:rFonts w:ascii="Calibri Light" w:eastAsia="Times New Roman" w:hAnsi="Calibri Light" w:cs="Calibri Light"/>
          <w:sz w:val="22"/>
          <w:szCs w:val="22"/>
          <w:lang w:eastAsia="es-CL"/>
        </w:rPr>
        <w:t>, de conformidad con lo siguiente:</w:t>
      </w:r>
    </w:p>
    <w:p w14:paraId="78C09234" w14:textId="77777777" w:rsidR="00024848" w:rsidRDefault="00024848" w:rsidP="00024848">
      <w:pPr>
        <w:pStyle w:val="Prrafodelista"/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16781F6" w14:textId="77777777" w:rsidR="00061ABF" w:rsidRDefault="00024848" w:rsidP="0031211A">
      <w:pPr>
        <w:pStyle w:val="Prrafodelista"/>
        <w:numPr>
          <w:ilvl w:val="1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PROCEDIMIENTO GENERAL: </w:t>
      </w:r>
    </w:p>
    <w:p w14:paraId="283BB176" w14:textId="77777777" w:rsidR="00061ABF" w:rsidRDefault="00061ABF" w:rsidP="00061ABF">
      <w:pPr>
        <w:pStyle w:val="Prrafodelista"/>
        <w:spacing w:line="259" w:lineRule="auto"/>
        <w:ind w:left="1416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21CD9FA9" w14:textId="32E653EB" w:rsidR="00061ABF" w:rsidRPr="00061ABF" w:rsidRDefault="00024848" w:rsidP="00061ABF">
      <w:pPr>
        <w:pStyle w:val="Prrafodelista"/>
        <w:numPr>
          <w:ilvl w:val="0"/>
          <w:numId w:val="25"/>
        </w:numPr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El 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>p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lan piloto será aplicado dentro del periodo 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ya señalado y será la 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instancia donde los </w:t>
      </w:r>
      <w:r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Almacenistas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deberán desarrollar la mensajería electrónica </w:t>
      </w:r>
      <w:r w:rsidR="00503FC2">
        <w:rPr>
          <w:rFonts w:ascii="Calibri Light" w:eastAsia="Times New Roman" w:hAnsi="Calibri Light" w:cs="Calibri Light"/>
          <w:sz w:val="22"/>
          <w:szCs w:val="22"/>
          <w:lang w:eastAsia="es-CL"/>
        </w:rPr>
        <w:t>con el objeto de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lograr la interconexión con el sistema Hermes.</w:t>
      </w:r>
      <w:r w:rsidR="00061ABF"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</w:p>
    <w:p w14:paraId="3CE2295B" w14:textId="77777777" w:rsidR="00061ABF" w:rsidRPr="00061ABF" w:rsidRDefault="00061ABF" w:rsidP="00061ABF">
      <w:pPr>
        <w:spacing w:line="259" w:lineRule="auto"/>
        <w:ind w:left="552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967F09E" w14:textId="6B6A38B0" w:rsidR="00836A78" w:rsidRPr="00836A78" w:rsidRDefault="00836A78" w:rsidP="00061ABF">
      <w:pPr>
        <w:pStyle w:val="Prrafodelista"/>
        <w:numPr>
          <w:ilvl w:val="0"/>
          <w:numId w:val="25"/>
        </w:numPr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Las especificaciones de la mensajería electrónica, se encuentra en el documento </w:t>
      </w:r>
      <w:r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“Manual de Integración de Almacenistas”,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que forma parte de esta resolución y se constituye como Anexo N°3 del 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Apéndice VIII: Operadores de Contenedores, del Capítulo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3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>, del Compendio de Normas Aduaneras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</w:p>
    <w:p w14:paraId="5386CF37" w14:textId="77777777" w:rsidR="00836A78" w:rsidRPr="00836A78" w:rsidRDefault="00836A78" w:rsidP="00836A78">
      <w:pPr>
        <w:pStyle w:val="Prrafodelista"/>
        <w:rPr>
          <w:rFonts w:ascii="Calibri Light" w:eastAsia="Times New Roman" w:hAnsi="Calibri Light" w:cs="Calibri Light"/>
          <w:sz w:val="22"/>
          <w:szCs w:val="22"/>
          <w:highlight w:val="yellow"/>
          <w:lang w:eastAsia="es-CL"/>
        </w:rPr>
      </w:pPr>
    </w:p>
    <w:p w14:paraId="45047474" w14:textId="030B860E" w:rsidR="00024848" w:rsidRPr="00514A05" w:rsidRDefault="00024848" w:rsidP="00061ABF">
      <w:pPr>
        <w:pStyle w:val="Prrafodelista"/>
        <w:numPr>
          <w:ilvl w:val="0"/>
          <w:numId w:val="25"/>
        </w:numPr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Este procedimiento de pruebas de conectividad y plan piloto contempla que, los </w:t>
      </w:r>
      <w:r w:rsidR="000B1B2A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Almacenistas se suscriban al sistema H</w:t>
      </w:r>
      <w:r w:rsidR="0083771C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ermes</w:t>
      </w:r>
      <w:r w:rsidR="00514A05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="000B1B2A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proceso detallado </w:t>
      </w:r>
      <w:r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en el “</w:t>
      </w:r>
      <w:r w:rsidR="004E6007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Manual de Integración de Almacenistas”</w:t>
      </w:r>
      <w:r w:rsidR="00514A05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="004E6007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0B1B2A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para que sean informados los tipos de selección y bloqueos</w:t>
      </w:r>
      <w:r w:rsidR="009E4A72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por riesgo local correspondientes a los documentos de </w:t>
      </w:r>
      <w:r w:rsidR="0083771C" w:rsidRPr="00514A05">
        <w:rPr>
          <w:rFonts w:ascii="Calibri Light" w:eastAsia="Times New Roman" w:hAnsi="Calibri Light" w:cs="Calibri Light"/>
          <w:sz w:val="22"/>
          <w:szCs w:val="22"/>
          <w:lang w:eastAsia="es-CL"/>
        </w:rPr>
        <w:t>transporte.</w:t>
      </w:r>
    </w:p>
    <w:p w14:paraId="3EF66AF1" w14:textId="77777777" w:rsidR="00061ABF" w:rsidRPr="00024848" w:rsidRDefault="00061ABF" w:rsidP="00061ABF">
      <w:pPr>
        <w:pStyle w:val="Prrafodelista"/>
        <w:spacing w:line="259" w:lineRule="auto"/>
        <w:ind w:left="180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369862DA" w14:textId="69616FC6" w:rsidR="00061ABF" w:rsidRDefault="00061ABF" w:rsidP="00061ABF">
      <w:pPr>
        <w:pStyle w:val="Prrafodelista"/>
        <w:numPr>
          <w:ilvl w:val="1"/>
          <w:numId w:val="21"/>
        </w:numPr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>Una vez cumplido el plazo de</w:t>
      </w:r>
      <w:r w:rsidR="00514A05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finido, 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correspondientes al plan piloto, de no haber mayores dificultades en esta </w:t>
      </w:r>
      <w:r w:rsidR="0083771C"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implementación, </w:t>
      </w:r>
      <w:r w:rsidR="0083771C">
        <w:rPr>
          <w:rFonts w:ascii="Calibri Light" w:eastAsia="Times New Roman" w:hAnsi="Calibri Light" w:cs="Calibri Light"/>
          <w:sz w:val="22"/>
          <w:szCs w:val="22"/>
          <w:lang w:eastAsia="es-CL"/>
        </w:rPr>
        <w:t>la</w:t>
      </w:r>
      <w:r w:rsidR="009E4A7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nueva funcionalidad de informar los tipos de selección y bloqueo del </w:t>
      </w:r>
      <w:r w:rsidRPr="00061ABF">
        <w:rPr>
          <w:rFonts w:ascii="Calibri Light" w:eastAsia="Times New Roman" w:hAnsi="Calibri Light" w:cs="Calibri Light"/>
          <w:sz w:val="22"/>
          <w:szCs w:val="22"/>
          <w:lang w:eastAsia="es-CL"/>
        </w:rPr>
        <w:t>sistema Hermes, entrará en pleno funcionamiento.</w:t>
      </w:r>
    </w:p>
    <w:p w14:paraId="36D5FFEA" w14:textId="77777777" w:rsidR="00836A78" w:rsidRDefault="00836A78">
      <w:pPr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3E7E9320" w14:textId="3591D646" w:rsidR="00836A78" w:rsidRDefault="00836A78">
      <w:pPr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br w:type="page"/>
      </w:r>
    </w:p>
    <w:p w14:paraId="64B64E35" w14:textId="77777777" w:rsidR="00836A78" w:rsidRDefault="00836A78">
      <w:pPr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5CEAC4EE" w14:textId="77777777" w:rsidR="00836A78" w:rsidRDefault="00836A78">
      <w:pPr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3009887D" w14:textId="77777777" w:rsidR="00836A78" w:rsidRDefault="00836A78">
      <w:pPr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570E14E6" w14:textId="77777777" w:rsidR="00061ABF" w:rsidRPr="00061ABF" w:rsidRDefault="00061ABF" w:rsidP="00061ABF">
      <w:pPr>
        <w:pStyle w:val="Prrafodelista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04BE6289" w14:textId="691B9C9D" w:rsidR="00024848" w:rsidRDefault="00BD4282" w:rsidP="00BD4282">
      <w:pPr>
        <w:pStyle w:val="Prrafodelista"/>
        <w:numPr>
          <w:ilvl w:val="0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MODIFÍCA</w:t>
      </w:r>
      <w:r w:rsidRPr="00BD4282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SE</w:t>
      </w:r>
      <w:r w:rsidR="00956B90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,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los siguientes puntos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en 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el Apéndice VIII: Operadores de Contenedores, del Capítulo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3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>, del Compendio de Normas Aduaneras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, 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>según se indica a continuación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:</w:t>
      </w:r>
    </w:p>
    <w:p w14:paraId="439630F2" w14:textId="77777777" w:rsidR="00C65607" w:rsidRDefault="00C65607" w:rsidP="00C65607">
      <w:pPr>
        <w:pStyle w:val="Prrafodelista"/>
        <w:spacing w:line="259" w:lineRule="auto"/>
        <w:ind w:left="36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79EE073E" w14:textId="3FD45F37" w:rsidR="00BD4282" w:rsidRDefault="00956B90" w:rsidP="00BD4282">
      <w:pPr>
        <w:pStyle w:val="Prrafodelista"/>
        <w:numPr>
          <w:ilvl w:val="1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INCORPÓRASE,</w:t>
      </w:r>
      <w:r w:rsidR="00BD4282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 xml:space="preserve"> </w:t>
      </w:r>
      <w:r w:rsid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en la letra “C. </w:t>
      </w:r>
      <w:r w:rsidR="00BD4282"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>SISTEMA DE TRAZABILIDAD DE CONTENEDORES (HERMES</w:t>
      </w:r>
      <w:r w:rsid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)”, </w:t>
      </w:r>
      <w:r w:rsidR="00CB67B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los siguientes puntos </w:t>
      </w:r>
      <w:r w:rsidR="007B59DF">
        <w:rPr>
          <w:rFonts w:ascii="Calibri Light" w:eastAsia="Times New Roman" w:hAnsi="Calibri Light" w:cs="Calibri Light"/>
          <w:sz w:val="22"/>
          <w:szCs w:val="22"/>
          <w:lang w:eastAsia="es-CL"/>
        </w:rPr>
        <w:t>de acuerdo con</w:t>
      </w:r>
      <w:r w:rsidR="00CB67B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7B59DF">
        <w:rPr>
          <w:rFonts w:ascii="Calibri Light" w:eastAsia="Times New Roman" w:hAnsi="Calibri Light" w:cs="Calibri Light"/>
          <w:sz w:val="22"/>
          <w:szCs w:val="22"/>
          <w:lang w:eastAsia="es-CL"/>
        </w:rPr>
        <w:t>lo que se</w:t>
      </w:r>
      <w:r w:rsidR="00CB67B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indica a continuación</w:t>
      </w:r>
      <w:r w:rsidR="00BD4282">
        <w:rPr>
          <w:rFonts w:ascii="Calibri Light" w:eastAsia="Times New Roman" w:hAnsi="Calibri Light" w:cs="Calibri Light"/>
          <w:sz w:val="22"/>
          <w:szCs w:val="22"/>
          <w:lang w:eastAsia="es-CL"/>
        </w:rPr>
        <w:t>:</w:t>
      </w:r>
    </w:p>
    <w:p w14:paraId="0B235A56" w14:textId="77777777" w:rsidR="00C65607" w:rsidRDefault="00C65607" w:rsidP="00C65607">
      <w:pPr>
        <w:pStyle w:val="Prrafodelista"/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2E284E84" w14:textId="478F310F" w:rsidR="007B59DF" w:rsidRDefault="00956B90" w:rsidP="00BD4282">
      <w:pPr>
        <w:pStyle w:val="Prrafodelista"/>
        <w:numPr>
          <w:ilvl w:val="2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C</w:t>
      </w:r>
      <w:r w:rsidR="007B59DF">
        <w:rPr>
          <w:rFonts w:ascii="Calibri Light" w:eastAsia="Times New Roman" w:hAnsi="Calibri Light" w:cs="Calibri Light"/>
          <w:sz w:val="22"/>
          <w:szCs w:val="22"/>
          <w:lang w:eastAsia="es-CL"/>
        </w:rPr>
        <w:t>omo tercer párrafo en el punto 1.1, el siguiente texto:</w:t>
      </w:r>
    </w:p>
    <w:p w14:paraId="58FE4DEF" w14:textId="77777777" w:rsidR="007B59DF" w:rsidRDefault="007B59DF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7B47E6EA" w14:textId="2F00BD24" w:rsidR="00CB67B7" w:rsidRDefault="007B59DF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“</w:t>
      </w:r>
      <w:r w:rsidRPr="007B59DF">
        <w:rPr>
          <w:rFonts w:ascii="Calibri Light" w:eastAsia="Times New Roman" w:hAnsi="Calibri Light" w:cs="Calibri Light"/>
          <w:sz w:val="22"/>
          <w:szCs w:val="22"/>
          <w:lang w:eastAsia="es-CL"/>
        </w:rPr>
        <w:t>Como parte de sus capacidades operativas, HERMES notifica a los almacenistas cuando un manifiesto marítimo y su BL asociado o un manifiesto terrestre presentan marcas de selección aduanera, permitiendo que los recintos de almacenamiento actúen oportunamente ante estas situaciones.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”</w:t>
      </w:r>
    </w:p>
    <w:p w14:paraId="7BE9DC9E" w14:textId="77777777" w:rsidR="007B59DF" w:rsidRDefault="007B59DF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8812DA6" w14:textId="27FE8857" w:rsidR="007B59DF" w:rsidRDefault="00956B90" w:rsidP="007B59DF">
      <w:pPr>
        <w:pStyle w:val="Prrafodelista"/>
        <w:numPr>
          <w:ilvl w:val="2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C</w:t>
      </w:r>
      <w:r w:rsidR="007B59DF">
        <w:rPr>
          <w:rFonts w:ascii="Calibri Light" w:eastAsia="Times New Roman" w:hAnsi="Calibri Light" w:cs="Calibri Light"/>
          <w:sz w:val="22"/>
          <w:szCs w:val="22"/>
          <w:lang w:eastAsia="es-CL"/>
        </w:rPr>
        <w:t>omo punto 2.2, el siguiente texto:</w:t>
      </w:r>
    </w:p>
    <w:p w14:paraId="49915BF2" w14:textId="77777777" w:rsidR="007B59DF" w:rsidRDefault="007B59DF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54F03CD7" w14:textId="7F85C2DC" w:rsidR="00BD4282" w:rsidRDefault="00BD4282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>“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2.2  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>E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>l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manual 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para 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>los almacenistas</w:t>
      </w:r>
      <w:r w:rsidR="00CB67B7">
        <w:rPr>
          <w:rFonts w:ascii="Calibri Light" w:eastAsia="Times New Roman" w:hAnsi="Calibri Light" w:cs="Calibri Light"/>
          <w:sz w:val="22"/>
          <w:szCs w:val="22"/>
          <w:lang w:eastAsia="es-CL"/>
        </w:rPr>
        <w:t>,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con 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las instrucciones técnicas necesarias para integrarse al sistema HERMES del Servicio Nacional de Aduanas, 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>con</w:t>
      </w:r>
      <w:r w:rsidR="00CB67B7">
        <w:rPr>
          <w:rFonts w:ascii="Calibri Light" w:eastAsia="Times New Roman" w:hAnsi="Calibri Light" w:cs="Calibri Light"/>
          <w:sz w:val="22"/>
          <w:szCs w:val="22"/>
          <w:lang w:eastAsia="es-CL"/>
        </w:rPr>
        <w:t>teniendo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el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 servicio de notificaciones de bloqueo de marcas de manifiestos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>, se encontrará en el Anexo N°3 del presente Apéndice</w:t>
      </w:r>
      <w:r w:rsidR="00C65607" w:rsidRPr="00C65607"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  <w:r w:rsidR="00C65607">
        <w:rPr>
          <w:rFonts w:ascii="Calibri Light" w:eastAsia="Times New Roman" w:hAnsi="Calibri Light" w:cs="Calibri Light"/>
          <w:sz w:val="22"/>
          <w:szCs w:val="22"/>
          <w:lang w:eastAsia="es-CL"/>
        </w:rPr>
        <w:t>”</w:t>
      </w:r>
    </w:p>
    <w:p w14:paraId="69BAAADD" w14:textId="77777777" w:rsidR="00836A78" w:rsidRDefault="00836A78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7AC23FF6" w14:textId="10C6733C" w:rsidR="00836A78" w:rsidRDefault="00836A78" w:rsidP="00836A78">
      <w:pPr>
        <w:pStyle w:val="Prrafodelista"/>
        <w:numPr>
          <w:ilvl w:val="0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836A78">
        <w:rPr>
          <w:rFonts w:ascii="Calibri Light" w:eastAsia="Times New Roman" w:hAnsi="Calibri Light" w:cs="Calibri Light"/>
          <w:b/>
          <w:bCs/>
          <w:sz w:val="22"/>
          <w:szCs w:val="22"/>
          <w:lang w:eastAsia="es-CL"/>
        </w:rPr>
        <w:t>APRUÉBASE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; el Anexo N°3, </w:t>
      </w:r>
      <w:r w:rsidR="00956B90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“Manual de Integración de Almacenistas”,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como parte integral del Apéndice VIII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: Operadores de Contenedores, del Capítulo 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3</w:t>
      </w:r>
      <w:r w:rsidRPr="00BD4282">
        <w:rPr>
          <w:rFonts w:ascii="Calibri Light" w:eastAsia="Times New Roman" w:hAnsi="Calibri Light" w:cs="Calibri Light"/>
          <w:sz w:val="22"/>
          <w:szCs w:val="22"/>
          <w:lang w:eastAsia="es-CL"/>
        </w:rPr>
        <w:t>, del Compendio de Normas Aduaneras</w:t>
      </w:r>
      <w:r>
        <w:rPr>
          <w:rFonts w:ascii="Calibri Light" w:eastAsia="Times New Roman" w:hAnsi="Calibri Light" w:cs="Calibri Light"/>
          <w:sz w:val="22"/>
          <w:szCs w:val="22"/>
          <w:lang w:eastAsia="es-CL"/>
        </w:rPr>
        <w:t>.</w:t>
      </w:r>
    </w:p>
    <w:p w14:paraId="1A837BF9" w14:textId="77777777" w:rsidR="00836A78" w:rsidRDefault="00836A78" w:rsidP="00836A78">
      <w:pPr>
        <w:pStyle w:val="Prrafodelista"/>
        <w:spacing w:line="259" w:lineRule="auto"/>
        <w:ind w:left="36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254BDAA3" w14:textId="77777777" w:rsidR="00836A78" w:rsidRPr="00836A78" w:rsidRDefault="00836A78" w:rsidP="00836A78">
      <w:pPr>
        <w:pStyle w:val="Prrafodelista"/>
        <w:numPr>
          <w:ilvl w:val="0"/>
          <w:numId w:val="21"/>
        </w:numPr>
        <w:spacing w:line="259" w:lineRule="auto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836A78">
        <w:rPr>
          <w:rFonts w:ascii="Calibri Light" w:eastAsia="Times New Roman" w:hAnsi="Calibri Light" w:cs="Calibri Light"/>
          <w:sz w:val="22"/>
          <w:szCs w:val="22"/>
          <w:lang w:eastAsia="es-CL"/>
        </w:rPr>
        <w:t xml:space="preserve">Las referidas instrucciones entrarán en vigor desde la publicación del extracto de esta en el Diario Oficial. </w:t>
      </w:r>
    </w:p>
    <w:p w14:paraId="6A0F7442" w14:textId="77777777" w:rsidR="00836A78" w:rsidRPr="00836A78" w:rsidRDefault="00836A78" w:rsidP="00836A78">
      <w:pPr>
        <w:pStyle w:val="Prrafodelista"/>
        <w:spacing w:line="259" w:lineRule="auto"/>
        <w:ind w:left="36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DEBE808" w14:textId="77777777" w:rsidR="00836A78" w:rsidRPr="00836A78" w:rsidRDefault="00836A78" w:rsidP="00836A78">
      <w:pPr>
        <w:pStyle w:val="Prrafodelista"/>
        <w:spacing w:line="259" w:lineRule="auto"/>
        <w:ind w:left="36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  <w:r w:rsidRPr="00836A78">
        <w:rPr>
          <w:rFonts w:ascii="Calibri Light" w:eastAsia="Times New Roman" w:hAnsi="Calibri Light" w:cs="Calibri Light"/>
          <w:sz w:val="22"/>
          <w:szCs w:val="22"/>
          <w:lang w:eastAsia="es-CL"/>
        </w:rPr>
        <w:t>ANÓTESE, COMUNÍQUESE Y PUBLÍQUESE EN EXTRACTO EN EL DIARIO OFICIAL Y EN LA PÁGINA WEB DEL SERVICIO.</w:t>
      </w:r>
    </w:p>
    <w:p w14:paraId="454AF9C9" w14:textId="77777777" w:rsidR="00836A78" w:rsidRDefault="00836A78" w:rsidP="00836A78">
      <w:pPr>
        <w:pStyle w:val="Prrafodelista"/>
        <w:spacing w:line="259" w:lineRule="auto"/>
        <w:ind w:left="36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p w14:paraId="6032482B" w14:textId="77777777" w:rsidR="007B59DF" w:rsidRDefault="007B59DF" w:rsidP="007B59DF">
      <w:pPr>
        <w:pStyle w:val="Prrafodelista"/>
        <w:spacing w:line="259" w:lineRule="auto"/>
        <w:ind w:left="1080"/>
        <w:jc w:val="both"/>
        <w:rPr>
          <w:rFonts w:ascii="Calibri Light" w:eastAsia="Times New Roman" w:hAnsi="Calibri Light" w:cs="Calibri Light"/>
          <w:sz w:val="22"/>
          <w:szCs w:val="22"/>
          <w:lang w:eastAsia="es-CL"/>
        </w:rPr>
      </w:pPr>
    </w:p>
    <w:sectPr w:rsidR="007B59DF" w:rsidSect="00411420">
      <w:headerReference w:type="default" r:id="rId8"/>
      <w:footerReference w:type="default" r:id="rId9"/>
      <w:pgSz w:w="12240" w:h="18720"/>
      <w:pgMar w:top="1417" w:right="1701" w:bottom="1417" w:left="1701" w:header="27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6134" w14:textId="77777777" w:rsidR="0072356F" w:rsidRDefault="0072356F" w:rsidP="009C340E">
      <w:r>
        <w:separator/>
      </w:r>
    </w:p>
  </w:endnote>
  <w:endnote w:type="continuationSeparator" w:id="0">
    <w:p w14:paraId="3588F4E2" w14:textId="77777777" w:rsidR="0072356F" w:rsidRDefault="0072356F" w:rsidP="009C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bCL">
    <w:altName w:val="Times New Roman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6195" w14:textId="3083EFB8" w:rsidR="009C340E" w:rsidRDefault="004A75B5" w:rsidP="00287A9E">
    <w:pPr>
      <w:pStyle w:val="Piedepgina"/>
      <w:ind w:left="-993"/>
    </w:pPr>
    <w:r w:rsidRPr="004D6778">
      <w:rPr>
        <w:noProof/>
      </w:rPr>
      <w:drawing>
        <wp:anchor distT="0" distB="0" distL="114300" distR="114300" simplePos="0" relativeHeight="251662336" behindDoc="0" locked="0" layoutInCell="1" allowOverlap="1" wp14:anchorId="39F325F6" wp14:editId="685550AD">
          <wp:simplePos x="0" y="0"/>
          <wp:positionH relativeFrom="column">
            <wp:posOffset>-541655</wp:posOffset>
          </wp:positionH>
          <wp:positionV relativeFrom="paragraph">
            <wp:posOffset>-341214</wp:posOffset>
          </wp:positionV>
          <wp:extent cx="6854025" cy="170887"/>
          <wp:effectExtent l="0" t="0" r="0" b="0"/>
          <wp:wrapNone/>
          <wp:docPr id="19074334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139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025" cy="170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37E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3C212" wp14:editId="48809515">
              <wp:simplePos x="0" y="0"/>
              <wp:positionH relativeFrom="column">
                <wp:posOffset>-541233</wp:posOffset>
              </wp:positionH>
              <wp:positionV relativeFrom="paragraph">
                <wp:posOffset>-528532</wp:posOffset>
              </wp:positionV>
              <wp:extent cx="6954097" cy="68643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4097" cy="686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BB2B8" w14:textId="77777777" w:rsidR="00FB7100" w:rsidRPr="000727D8" w:rsidRDefault="00FB7100" w:rsidP="00287A9E">
                          <w:pPr>
                            <w:ind w:left="1134" w:right="-7229"/>
                            <w:rPr>
                              <w:rFonts w:ascii="gobCL" w:hAnsi="gobCL" w:cs="Tahoma"/>
                              <w:b/>
                              <w:color w:val="7F7F7F" w:themeColor="text1" w:themeTint="8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3C21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left:0;text-align:left;margin-left:-42.6pt;margin-top:-41.6pt;width:547.5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" filled="f" stroked="f">
              <v:textbox>
                <w:txbxContent>
                  <w:p w14:paraId="115BB2B8" w14:textId="77777777" w:rsidR="00FB7100" w:rsidRPr="000727D8" w:rsidRDefault="00FB7100" w:rsidP="00287A9E">
                    <w:pPr>
                      <w:ind w:left="1134" w:right="-7229"/>
                      <w:rPr>
                        <w:rFonts w:ascii="gobCL" w:hAnsi="gobCL" w:cs="Tahoma"/>
                        <w:b/>
                        <w:color w:val="7F7F7F" w:themeColor="text1" w:themeTint="8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5638" w14:textId="77777777" w:rsidR="0072356F" w:rsidRDefault="0072356F" w:rsidP="009C340E">
      <w:r>
        <w:separator/>
      </w:r>
    </w:p>
  </w:footnote>
  <w:footnote w:type="continuationSeparator" w:id="0">
    <w:p w14:paraId="0DF1CFC0" w14:textId="77777777" w:rsidR="0072356F" w:rsidRDefault="0072356F" w:rsidP="009C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35BA" w14:textId="3D2C65A1" w:rsidR="005C0373" w:rsidRDefault="005C0373" w:rsidP="00287A9E">
    <w:pPr>
      <w:pStyle w:val="Encabezado"/>
      <w:spacing w:line="120" w:lineRule="auto"/>
      <w:ind w:left="-993"/>
    </w:pPr>
    <w:r>
      <w:br/>
    </w:r>
  </w:p>
  <w:p w14:paraId="7540784A" w14:textId="2EF34FC1" w:rsidR="008A1F18" w:rsidRDefault="0027637E" w:rsidP="00C57414">
    <w:pPr>
      <w:pStyle w:val="Encabezado"/>
      <w:spacing w:line="120" w:lineRule="auto"/>
      <w:ind w:left="-32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06E50F" wp14:editId="1AF825D3">
              <wp:simplePos x="0" y="0"/>
              <wp:positionH relativeFrom="column">
                <wp:posOffset>-778298</wp:posOffset>
              </wp:positionH>
              <wp:positionV relativeFrom="paragraph">
                <wp:posOffset>60748</wp:posOffset>
              </wp:positionV>
              <wp:extent cx="897466" cy="668867"/>
              <wp:effectExtent l="0" t="0" r="4445" b="4445"/>
              <wp:wrapNone/>
              <wp:docPr id="33829453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466" cy="6688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56319E" w14:textId="1C583B04" w:rsidR="0027637E" w:rsidRDefault="0027637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7D3BF4" wp14:editId="1B9CC64C">
                                <wp:extent cx="576000" cy="576000"/>
                                <wp:effectExtent l="0" t="0" r="0" b="0"/>
                                <wp:docPr id="1" name="Image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6000" cy="57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06E50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1.3pt;margin-top:4.8pt;width:70.65pt;height:5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" fillcolor="white [3201]" stroked="f" strokeweight=".5pt">
              <v:textbox>
                <w:txbxContent>
                  <w:p w14:paraId="5556319E" w14:textId="1C583B04" w:rsidR="0027637E" w:rsidRDefault="0027637E">
                    <w:r>
                      <w:rPr>
                        <w:noProof/>
                      </w:rPr>
                      <w:drawing>
                        <wp:inline distT="0" distB="0" distL="0" distR="0" wp14:anchorId="3A7D3BF4" wp14:editId="1B9CC64C">
                          <wp:extent cx="576000" cy="576000"/>
                          <wp:effectExtent l="0" t="0" r="0" b="0"/>
                          <wp:docPr id="1" name="Image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6000" cy="57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29B0E4FB" w14:textId="4EB34152" w:rsidR="005C0373" w:rsidRDefault="0027637E" w:rsidP="006F2DC4">
    <w:pPr>
      <w:pStyle w:val="Encabezado"/>
      <w:spacing w:line="120" w:lineRule="aut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DB016" wp14:editId="65208C22">
              <wp:simplePos x="0" y="0"/>
              <wp:positionH relativeFrom="column">
                <wp:posOffset>-735965</wp:posOffset>
              </wp:positionH>
              <wp:positionV relativeFrom="paragraph">
                <wp:posOffset>619972</wp:posOffset>
              </wp:positionV>
              <wp:extent cx="2037503" cy="474133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503" cy="474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D7AD3" w14:textId="77777777" w:rsidR="0038036B" w:rsidRDefault="0038036B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 xml:space="preserve">Servicio </w:t>
                          </w:r>
                          <w:r w:rsidRPr="00F42EA7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>Nacional de Aduanas</w:t>
                          </w:r>
                        </w:p>
                        <w:p w14:paraId="2A5DBAC2" w14:textId="77777777" w:rsidR="0038036B" w:rsidRPr="00DF42E3" w:rsidRDefault="0038036B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  <w:t>Dirección Nacional</w:t>
                          </w:r>
                          <w:r>
                            <w:rPr>
                              <w:rFonts w:ascii="PMingLiU" w:eastAsia="PMingLiU" w:hAnsi="PMingLiU" w:cs="PMingLiU"/>
                              <w:color w:val="000000" w:themeColor="text1"/>
                              <w:sz w:val="15"/>
                              <w:lang w:val="es-ES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404040" w:themeColor="text1" w:themeTint="BF"/>
                              <w:sz w:val="15"/>
                              <w:lang w:val="es-ES"/>
                            </w:rPr>
                            <w:t>Subdirección Técnica</w:t>
                          </w:r>
                        </w:p>
                        <w:p w14:paraId="68D2709A" w14:textId="77777777" w:rsidR="0038036B" w:rsidRPr="00DF42E3" w:rsidRDefault="0038036B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  <w:p w14:paraId="1F0EA4B0" w14:textId="171464A1" w:rsidR="0051688E" w:rsidRPr="00DF42E3" w:rsidRDefault="0051688E" w:rsidP="00AA7706">
                          <w:pPr>
                            <w:spacing w:line="180" w:lineRule="exact"/>
                            <w:ind w:left="-142" w:right="14"/>
                            <w:jc w:val="both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DB016" id="Cuadro de texto 10" o:spid="_x0000_s1027" type="#_x0000_t202" style="position:absolute;margin-left:-57.95pt;margin-top:48.8pt;width:160.4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" filled="f" stroked="f">
              <v:textbox>
                <w:txbxContent>
                  <w:p w14:paraId="2FFD7AD3" w14:textId="77777777" w:rsidR="0038036B" w:rsidRDefault="0038036B" w:rsidP="0038036B">
                    <w:pPr>
                      <w:spacing w:line="180" w:lineRule="exact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 xml:space="preserve">Servicio </w:t>
                    </w:r>
                    <w:r w:rsidRPr="00F42EA7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>Nacional de Aduanas</w:t>
                    </w:r>
                  </w:p>
                  <w:p w14:paraId="2A5DBAC2" w14:textId="77777777" w:rsidR="0038036B" w:rsidRPr="00DF42E3" w:rsidRDefault="0038036B" w:rsidP="0038036B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  <w:r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  <w:t>Dirección Nacional</w:t>
                    </w:r>
                    <w:r>
                      <w:rPr>
                        <w:rFonts w:ascii="PMingLiU" w:eastAsia="PMingLiU" w:hAnsi="PMingLiU" w:cs="PMingLiU"/>
                        <w:color w:val="000000" w:themeColor="text1"/>
                        <w:sz w:val="15"/>
                        <w:lang w:val="es-ES"/>
                      </w:rPr>
                      <w:br/>
                    </w:r>
                    <w:r>
                      <w:rPr>
                        <w:rFonts w:ascii="Tahoma" w:hAnsi="Tahoma" w:cs="Tahoma"/>
                        <w:color w:val="404040" w:themeColor="text1" w:themeTint="BF"/>
                        <w:sz w:val="15"/>
                        <w:lang w:val="es-ES"/>
                      </w:rPr>
                      <w:t>Subdirección Técnica</w:t>
                    </w:r>
                  </w:p>
                  <w:p w14:paraId="68D2709A" w14:textId="77777777" w:rsidR="0038036B" w:rsidRPr="00DF42E3" w:rsidRDefault="0038036B" w:rsidP="0038036B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  <w:p w14:paraId="1F0EA4B0" w14:textId="171464A1" w:rsidR="0051688E" w:rsidRPr="00DF42E3" w:rsidRDefault="0051688E" w:rsidP="00AA7706">
                    <w:pPr>
                      <w:spacing w:line="180" w:lineRule="exact"/>
                      <w:ind w:left="-142" w:right="14"/>
                      <w:jc w:val="both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D422CD" wp14:editId="5A25335F">
              <wp:simplePos x="0" y="0"/>
              <wp:positionH relativeFrom="column">
                <wp:posOffset>-79375</wp:posOffset>
              </wp:positionH>
              <wp:positionV relativeFrom="paragraph">
                <wp:posOffset>68368</wp:posOffset>
              </wp:positionV>
              <wp:extent cx="1600200" cy="499110"/>
              <wp:effectExtent l="0" t="0" r="0" b="0"/>
              <wp:wrapNone/>
              <wp:docPr id="1859078118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F611A8" w14:textId="50F40C43" w:rsidR="0027637E" w:rsidRDefault="0027637E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D87444D" wp14:editId="664C6689">
                                <wp:extent cx="1283970" cy="388383"/>
                                <wp:effectExtent l="0" t="0" r="0" b="5715"/>
                                <wp:docPr id="430815599" name="Imagen 430815599" descr="SSD:Users:veronica:Desktop:logo aduan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SD:Users:veronica:Desktop:logo aduana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3970" cy="3883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422CD" id="Cuadro de texto 4" o:spid="_x0000_s1028" type="#_x0000_t202" style="position:absolute;margin-left:-6.25pt;margin-top:5.4pt;width:126pt;height:3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" filled="f" stroked="f" strokeweight=".5pt">
              <v:textbox>
                <w:txbxContent>
                  <w:p w14:paraId="77F611A8" w14:textId="50F40C43" w:rsidR="0027637E" w:rsidRDefault="0027637E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D87444D" wp14:editId="664C6689">
                          <wp:extent cx="1283970" cy="388383"/>
                          <wp:effectExtent l="0" t="0" r="0" b="5715"/>
                          <wp:docPr id="430815599" name="Imagen 430815599" descr="SSD:Users:veronica:Desktop:logo aduan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SD:Users:veronica:Desktop:logo aduana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3970" cy="388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5AC"/>
    <w:multiLevelType w:val="hybridMultilevel"/>
    <w:tmpl w:val="35E88D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B1F"/>
    <w:multiLevelType w:val="hybridMultilevel"/>
    <w:tmpl w:val="A69653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405F"/>
    <w:multiLevelType w:val="hybridMultilevel"/>
    <w:tmpl w:val="EBC43BD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5727"/>
    <w:multiLevelType w:val="multilevel"/>
    <w:tmpl w:val="C04A81C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F5270"/>
    <w:multiLevelType w:val="hybridMultilevel"/>
    <w:tmpl w:val="D52EFAB0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285215"/>
    <w:multiLevelType w:val="hybridMultilevel"/>
    <w:tmpl w:val="80E656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F3D"/>
    <w:multiLevelType w:val="hybridMultilevel"/>
    <w:tmpl w:val="90E8B724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74AA0"/>
    <w:multiLevelType w:val="hybridMultilevel"/>
    <w:tmpl w:val="D938F7C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6991"/>
    <w:multiLevelType w:val="hybridMultilevel"/>
    <w:tmpl w:val="5BBE08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6474A"/>
    <w:multiLevelType w:val="hybridMultilevel"/>
    <w:tmpl w:val="9A9A87D4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AD466B"/>
    <w:multiLevelType w:val="hybridMultilevel"/>
    <w:tmpl w:val="8D568854"/>
    <w:lvl w:ilvl="0" w:tplc="57CEE6F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11901"/>
    <w:multiLevelType w:val="hybridMultilevel"/>
    <w:tmpl w:val="DCA66946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133FDE"/>
    <w:multiLevelType w:val="hybridMultilevel"/>
    <w:tmpl w:val="5FB6673E"/>
    <w:lvl w:ilvl="0" w:tplc="3E6C07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DD57AE"/>
    <w:multiLevelType w:val="hybridMultilevel"/>
    <w:tmpl w:val="785E1A7E"/>
    <w:lvl w:ilvl="0" w:tplc="57CEE6F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AC04F2"/>
    <w:multiLevelType w:val="hybridMultilevel"/>
    <w:tmpl w:val="1CBA7B38"/>
    <w:lvl w:ilvl="0" w:tplc="87589A68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A65C12"/>
    <w:multiLevelType w:val="hybridMultilevel"/>
    <w:tmpl w:val="CB7016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52F"/>
    <w:multiLevelType w:val="hybridMultilevel"/>
    <w:tmpl w:val="9A9A87D4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462F36"/>
    <w:multiLevelType w:val="hybridMultilevel"/>
    <w:tmpl w:val="EC12F10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A34F1"/>
    <w:multiLevelType w:val="hybridMultilevel"/>
    <w:tmpl w:val="598A6942"/>
    <w:lvl w:ilvl="0" w:tplc="340A0017">
      <w:start w:val="1"/>
      <w:numFmt w:val="lowerLetter"/>
      <w:lvlText w:val="%1)"/>
      <w:lvlJc w:val="left"/>
      <w:pPr>
        <w:ind w:left="3816" w:hanging="360"/>
      </w:pPr>
    </w:lvl>
    <w:lvl w:ilvl="1" w:tplc="340A0019" w:tentative="1">
      <w:start w:val="1"/>
      <w:numFmt w:val="lowerLetter"/>
      <w:lvlText w:val="%2."/>
      <w:lvlJc w:val="left"/>
      <w:pPr>
        <w:ind w:left="4536" w:hanging="360"/>
      </w:pPr>
    </w:lvl>
    <w:lvl w:ilvl="2" w:tplc="340A001B" w:tentative="1">
      <w:start w:val="1"/>
      <w:numFmt w:val="lowerRoman"/>
      <w:lvlText w:val="%3."/>
      <w:lvlJc w:val="right"/>
      <w:pPr>
        <w:ind w:left="5256" w:hanging="180"/>
      </w:pPr>
    </w:lvl>
    <w:lvl w:ilvl="3" w:tplc="340A000F" w:tentative="1">
      <w:start w:val="1"/>
      <w:numFmt w:val="decimal"/>
      <w:lvlText w:val="%4."/>
      <w:lvlJc w:val="left"/>
      <w:pPr>
        <w:ind w:left="5976" w:hanging="360"/>
      </w:pPr>
    </w:lvl>
    <w:lvl w:ilvl="4" w:tplc="340A0019" w:tentative="1">
      <w:start w:val="1"/>
      <w:numFmt w:val="lowerLetter"/>
      <w:lvlText w:val="%5."/>
      <w:lvlJc w:val="left"/>
      <w:pPr>
        <w:ind w:left="6696" w:hanging="360"/>
      </w:pPr>
    </w:lvl>
    <w:lvl w:ilvl="5" w:tplc="340A001B" w:tentative="1">
      <w:start w:val="1"/>
      <w:numFmt w:val="lowerRoman"/>
      <w:lvlText w:val="%6."/>
      <w:lvlJc w:val="right"/>
      <w:pPr>
        <w:ind w:left="7416" w:hanging="180"/>
      </w:pPr>
    </w:lvl>
    <w:lvl w:ilvl="6" w:tplc="340A000F" w:tentative="1">
      <w:start w:val="1"/>
      <w:numFmt w:val="decimal"/>
      <w:lvlText w:val="%7."/>
      <w:lvlJc w:val="left"/>
      <w:pPr>
        <w:ind w:left="8136" w:hanging="360"/>
      </w:pPr>
    </w:lvl>
    <w:lvl w:ilvl="7" w:tplc="340A0019" w:tentative="1">
      <w:start w:val="1"/>
      <w:numFmt w:val="lowerLetter"/>
      <w:lvlText w:val="%8."/>
      <w:lvlJc w:val="left"/>
      <w:pPr>
        <w:ind w:left="8856" w:hanging="360"/>
      </w:pPr>
    </w:lvl>
    <w:lvl w:ilvl="8" w:tplc="340A001B" w:tentative="1">
      <w:start w:val="1"/>
      <w:numFmt w:val="lowerRoman"/>
      <w:lvlText w:val="%9."/>
      <w:lvlJc w:val="right"/>
      <w:pPr>
        <w:ind w:left="9576" w:hanging="180"/>
      </w:pPr>
    </w:lvl>
  </w:abstractNum>
  <w:abstractNum w:abstractNumId="19" w15:restartNumberingAfterBreak="0">
    <w:nsid w:val="65582F1A"/>
    <w:multiLevelType w:val="hybridMultilevel"/>
    <w:tmpl w:val="7486DA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430EE6"/>
    <w:multiLevelType w:val="hybridMultilevel"/>
    <w:tmpl w:val="971A52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793B1F"/>
    <w:multiLevelType w:val="hybridMultilevel"/>
    <w:tmpl w:val="2D603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C0D42"/>
    <w:multiLevelType w:val="hybridMultilevel"/>
    <w:tmpl w:val="7D92E3C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001AB"/>
    <w:multiLevelType w:val="hybridMultilevel"/>
    <w:tmpl w:val="5FBC0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B10D6"/>
    <w:multiLevelType w:val="hybridMultilevel"/>
    <w:tmpl w:val="5928C3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E32B0"/>
    <w:multiLevelType w:val="hybridMultilevel"/>
    <w:tmpl w:val="19A42424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457705">
    <w:abstractNumId w:val="13"/>
  </w:num>
  <w:num w:numId="2" w16cid:durableId="1067340735">
    <w:abstractNumId w:val="25"/>
  </w:num>
  <w:num w:numId="3" w16cid:durableId="1443719363">
    <w:abstractNumId w:val="16"/>
  </w:num>
  <w:num w:numId="4" w16cid:durableId="991518594">
    <w:abstractNumId w:val="22"/>
  </w:num>
  <w:num w:numId="5" w16cid:durableId="220100594">
    <w:abstractNumId w:val="15"/>
  </w:num>
  <w:num w:numId="6" w16cid:durableId="1209495333">
    <w:abstractNumId w:val="24"/>
  </w:num>
  <w:num w:numId="7" w16cid:durableId="1560677194">
    <w:abstractNumId w:val="17"/>
  </w:num>
  <w:num w:numId="8" w16cid:durableId="1554275038">
    <w:abstractNumId w:val="4"/>
  </w:num>
  <w:num w:numId="9" w16cid:durableId="247037404">
    <w:abstractNumId w:val="6"/>
  </w:num>
  <w:num w:numId="10" w16cid:durableId="502665250">
    <w:abstractNumId w:val="9"/>
  </w:num>
  <w:num w:numId="11" w16cid:durableId="2099591574">
    <w:abstractNumId w:val="19"/>
  </w:num>
  <w:num w:numId="12" w16cid:durableId="1569605588">
    <w:abstractNumId w:val="14"/>
  </w:num>
  <w:num w:numId="13" w16cid:durableId="948045404">
    <w:abstractNumId w:val="10"/>
  </w:num>
  <w:num w:numId="14" w16cid:durableId="1866088978">
    <w:abstractNumId w:val="21"/>
  </w:num>
  <w:num w:numId="15" w16cid:durableId="2021420830">
    <w:abstractNumId w:val="8"/>
  </w:num>
  <w:num w:numId="16" w16cid:durableId="1772427828">
    <w:abstractNumId w:val="23"/>
  </w:num>
  <w:num w:numId="17" w16cid:durableId="1440182672">
    <w:abstractNumId w:val="20"/>
  </w:num>
  <w:num w:numId="18" w16cid:durableId="1997684810">
    <w:abstractNumId w:val="2"/>
  </w:num>
  <w:num w:numId="19" w16cid:durableId="1382509888">
    <w:abstractNumId w:val="1"/>
  </w:num>
  <w:num w:numId="20" w16cid:durableId="937718048">
    <w:abstractNumId w:val="12"/>
  </w:num>
  <w:num w:numId="21" w16cid:durableId="1699044811">
    <w:abstractNumId w:val="3"/>
  </w:num>
  <w:num w:numId="22" w16cid:durableId="335963064">
    <w:abstractNumId w:val="18"/>
  </w:num>
  <w:num w:numId="23" w16cid:durableId="686831110">
    <w:abstractNumId w:val="11"/>
  </w:num>
  <w:num w:numId="24" w16cid:durableId="374431914">
    <w:abstractNumId w:val="5"/>
  </w:num>
  <w:num w:numId="25" w16cid:durableId="1348949421">
    <w:abstractNumId w:val="0"/>
  </w:num>
  <w:num w:numId="26" w16cid:durableId="1331640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0E"/>
    <w:rsid w:val="00002BE2"/>
    <w:rsid w:val="00006684"/>
    <w:rsid w:val="0001504E"/>
    <w:rsid w:val="00015823"/>
    <w:rsid w:val="00023D21"/>
    <w:rsid w:val="00024848"/>
    <w:rsid w:val="00052F83"/>
    <w:rsid w:val="00053EBE"/>
    <w:rsid w:val="000604E0"/>
    <w:rsid w:val="00061ABF"/>
    <w:rsid w:val="000727D8"/>
    <w:rsid w:val="000823B7"/>
    <w:rsid w:val="00096404"/>
    <w:rsid w:val="000B1B2A"/>
    <w:rsid w:val="000C049C"/>
    <w:rsid w:val="000D3B4E"/>
    <w:rsid w:val="000E0A86"/>
    <w:rsid w:val="000E7F63"/>
    <w:rsid w:val="000F35E7"/>
    <w:rsid w:val="00127895"/>
    <w:rsid w:val="00136655"/>
    <w:rsid w:val="001402B4"/>
    <w:rsid w:val="00146675"/>
    <w:rsid w:val="0015395A"/>
    <w:rsid w:val="001620E5"/>
    <w:rsid w:val="001814D6"/>
    <w:rsid w:val="00186BC5"/>
    <w:rsid w:val="0019094B"/>
    <w:rsid w:val="0019403A"/>
    <w:rsid w:val="001A0625"/>
    <w:rsid w:val="001B354E"/>
    <w:rsid w:val="001C002C"/>
    <w:rsid w:val="001E0E73"/>
    <w:rsid w:val="00204079"/>
    <w:rsid w:val="002055FF"/>
    <w:rsid w:val="00222C0E"/>
    <w:rsid w:val="00231D9D"/>
    <w:rsid w:val="00234D34"/>
    <w:rsid w:val="00256DEA"/>
    <w:rsid w:val="00263637"/>
    <w:rsid w:val="00263843"/>
    <w:rsid w:val="0027637E"/>
    <w:rsid w:val="002841B0"/>
    <w:rsid w:val="00284508"/>
    <w:rsid w:val="00286AEB"/>
    <w:rsid w:val="00287A9E"/>
    <w:rsid w:val="00290C00"/>
    <w:rsid w:val="00297FBC"/>
    <w:rsid w:val="002C2D20"/>
    <w:rsid w:val="002D3545"/>
    <w:rsid w:val="003021E9"/>
    <w:rsid w:val="00305938"/>
    <w:rsid w:val="00314B9E"/>
    <w:rsid w:val="00325E84"/>
    <w:rsid w:val="00336F34"/>
    <w:rsid w:val="003441F3"/>
    <w:rsid w:val="00356F26"/>
    <w:rsid w:val="00361C32"/>
    <w:rsid w:val="00365A76"/>
    <w:rsid w:val="003673F5"/>
    <w:rsid w:val="0038036B"/>
    <w:rsid w:val="003A1DA5"/>
    <w:rsid w:val="003A23B9"/>
    <w:rsid w:val="003A3A8C"/>
    <w:rsid w:val="003C67E0"/>
    <w:rsid w:val="003D4721"/>
    <w:rsid w:val="003D682F"/>
    <w:rsid w:val="003E2C1A"/>
    <w:rsid w:val="00402393"/>
    <w:rsid w:val="00411266"/>
    <w:rsid w:val="00411420"/>
    <w:rsid w:val="00465553"/>
    <w:rsid w:val="004856D7"/>
    <w:rsid w:val="00485870"/>
    <w:rsid w:val="00491BA1"/>
    <w:rsid w:val="00493CC5"/>
    <w:rsid w:val="0049485F"/>
    <w:rsid w:val="00494D66"/>
    <w:rsid w:val="00495B22"/>
    <w:rsid w:val="004A75B5"/>
    <w:rsid w:val="004B2B6C"/>
    <w:rsid w:val="004D1CD8"/>
    <w:rsid w:val="004D27A3"/>
    <w:rsid w:val="004E6007"/>
    <w:rsid w:val="00503FC2"/>
    <w:rsid w:val="00511FBC"/>
    <w:rsid w:val="00514A05"/>
    <w:rsid w:val="0051688E"/>
    <w:rsid w:val="00517F4D"/>
    <w:rsid w:val="00520037"/>
    <w:rsid w:val="00522BAC"/>
    <w:rsid w:val="00527BF2"/>
    <w:rsid w:val="00540297"/>
    <w:rsid w:val="00557CA9"/>
    <w:rsid w:val="00557E02"/>
    <w:rsid w:val="0056011C"/>
    <w:rsid w:val="00592B61"/>
    <w:rsid w:val="0059454E"/>
    <w:rsid w:val="00595BCD"/>
    <w:rsid w:val="005A4707"/>
    <w:rsid w:val="005C0373"/>
    <w:rsid w:val="005E371D"/>
    <w:rsid w:val="006122EF"/>
    <w:rsid w:val="006130E9"/>
    <w:rsid w:val="00650BBE"/>
    <w:rsid w:val="00653E01"/>
    <w:rsid w:val="0067218B"/>
    <w:rsid w:val="00684164"/>
    <w:rsid w:val="006854D6"/>
    <w:rsid w:val="00693D5C"/>
    <w:rsid w:val="006973F7"/>
    <w:rsid w:val="006A7C90"/>
    <w:rsid w:val="006B3EE0"/>
    <w:rsid w:val="006D194D"/>
    <w:rsid w:val="006F266A"/>
    <w:rsid w:val="006F2DC4"/>
    <w:rsid w:val="006F679F"/>
    <w:rsid w:val="006F7CCD"/>
    <w:rsid w:val="0072356F"/>
    <w:rsid w:val="00725BDD"/>
    <w:rsid w:val="00734042"/>
    <w:rsid w:val="00786F6B"/>
    <w:rsid w:val="0079106B"/>
    <w:rsid w:val="00793D3D"/>
    <w:rsid w:val="007A05EA"/>
    <w:rsid w:val="007A1EF9"/>
    <w:rsid w:val="007A4B2D"/>
    <w:rsid w:val="007B01CD"/>
    <w:rsid w:val="007B4C77"/>
    <w:rsid w:val="007B59DF"/>
    <w:rsid w:val="007C603B"/>
    <w:rsid w:val="007D0D8A"/>
    <w:rsid w:val="007F2335"/>
    <w:rsid w:val="007F39F0"/>
    <w:rsid w:val="0081591E"/>
    <w:rsid w:val="00836A78"/>
    <w:rsid w:val="0083771C"/>
    <w:rsid w:val="00847204"/>
    <w:rsid w:val="00851EEE"/>
    <w:rsid w:val="00865033"/>
    <w:rsid w:val="00865790"/>
    <w:rsid w:val="00870080"/>
    <w:rsid w:val="008712F3"/>
    <w:rsid w:val="00872065"/>
    <w:rsid w:val="00892572"/>
    <w:rsid w:val="00894356"/>
    <w:rsid w:val="008A1F18"/>
    <w:rsid w:val="008A3102"/>
    <w:rsid w:val="008B1164"/>
    <w:rsid w:val="008C04E1"/>
    <w:rsid w:val="008C3277"/>
    <w:rsid w:val="008C6A67"/>
    <w:rsid w:val="008D34CF"/>
    <w:rsid w:val="008D3EC8"/>
    <w:rsid w:val="008D50AC"/>
    <w:rsid w:val="008D6C30"/>
    <w:rsid w:val="008E2A09"/>
    <w:rsid w:val="008E36D3"/>
    <w:rsid w:val="008F5AF2"/>
    <w:rsid w:val="009119D0"/>
    <w:rsid w:val="00924E67"/>
    <w:rsid w:val="00926D64"/>
    <w:rsid w:val="0095099A"/>
    <w:rsid w:val="00951061"/>
    <w:rsid w:val="00956B90"/>
    <w:rsid w:val="0095738B"/>
    <w:rsid w:val="0096217E"/>
    <w:rsid w:val="009706FD"/>
    <w:rsid w:val="009713C9"/>
    <w:rsid w:val="009813DA"/>
    <w:rsid w:val="0098297C"/>
    <w:rsid w:val="00982F45"/>
    <w:rsid w:val="009848C3"/>
    <w:rsid w:val="00994587"/>
    <w:rsid w:val="00994937"/>
    <w:rsid w:val="009952FB"/>
    <w:rsid w:val="009A1EE2"/>
    <w:rsid w:val="009A27CC"/>
    <w:rsid w:val="009B50B4"/>
    <w:rsid w:val="009C340E"/>
    <w:rsid w:val="009C66C7"/>
    <w:rsid w:val="009C7728"/>
    <w:rsid w:val="009E4A72"/>
    <w:rsid w:val="009F0C41"/>
    <w:rsid w:val="00A03043"/>
    <w:rsid w:val="00A123FA"/>
    <w:rsid w:val="00A25112"/>
    <w:rsid w:val="00A30785"/>
    <w:rsid w:val="00A44865"/>
    <w:rsid w:val="00A5659E"/>
    <w:rsid w:val="00A5739A"/>
    <w:rsid w:val="00A66C9C"/>
    <w:rsid w:val="00A7010E"/>
    <w:rsid w:val="00A73DEB"/>
    <w:rsid w:val="00A83DDE"/>
    <w:rsid w:val="00AA1E7D"/>
    <w:rsid w:val="00AA2E70"/>
    <w:rsid w:val="00AA4B65"/>
    <w:rsid w:val="00AA7706"/>
    <w:rsid w:val="00AB279E"/>
    <w:rsid w:val="00AC1C4A"/>
    <w:rsid w:val="00AC6EF5"/>
    <w:rsid w:val="00AD1E08"/>
    <w:rsid w:val="00AD40CA"/>
    <w:rsid w:val="00AE4D1F"/>
    <w:rsid w:val="00AF17EA"/>
    <w:rsid w:val="00AF2C4C"/>
    <w:rsid w:val="00AF5304"/>
    <w:rsid w:val="00B01437"/>
    <w:rsid w:val="00B06B52"/>
    <w:rsid w:val="00B14DAC"/>
    <w:rsid w:val="00B1560E"/>
    <w:rsid w:val="00B50295"/>
    <w:rsid w:val="00B537C2"/>
    <w:rsid w:val="00B66180"/>
    <w:rsid w:val="00BB5299"/>
    <w:rsid w:val="00BB6B4D"/>
    <w:rsid w:val="00BB7E3F"/>
    <w:rsid w:val="00BC2D8D"/>
    <w:rsid w:val="00BC4353"/>
    <w:rsid w:val="00BD34B9"/>
    <w:rsid w:val="00BD4282"/>
    <w:rsid w:val="00BE053F"/>
    <w:rsid w:val="00BE0A2D"/>
    <w:rsid w:val="00BE1E8D"/>
    <w:rsid w:val="00BE2B64"/>
    <w:rsid w:val="00BF5FFD"/>
    <w:rsid w:val="00C24F63"/>
    <w:rsid w:val="00C344BD"/>
    <w:rsid w:val="00C51262"/>
    <w:rsid w:val="00C57414"/>
    <w:rsid w:val="00C60727"/>
    <w:rsid w:val="00C65607"/>
    <w:rsid w:val="00C72A94"/>
    <w:rsid w:val="00C77BCD"/>
    <w:rsid w:val="00C87DB6"/>
    <w:rsid w:val="00CA2D46"/>
    <w:rsid w:val="00CA62EE"/>
    <w:rsid w:val="00CB64E2"/>
    <w:rsid w:val="00CB67B7"/>
    <w:rsid w:val="00CC04B1"/>
    <w:rsid w:val="00CF4F23"/>
    <w:rsid w:val="00CF68AF"/>
    <w:rsid w:val="00D15398"/>
    <w:rsid w:val="00D21346"/>
    <w:rsid w:val="00D24032"/>
    <w:rsid w:val="00D24310"/>
    <w:rsid w:val="00D40B72"/>
    <w:rsid w:val="00D54CEF"/>
    <w:rsid w:val="00D55675"/>
    <w:rsid w:val="00D71B51"/>
    <w:rsid w:val="00D732B0"/>
    <w:rsid w:val="00D770C4"/>
    <w:rsid w:val="00DB065C"/>
    <w:rsid w:val="00DC7B01"/>
    <w:rsid w:val="00DD1AF2"/>
    <w:rsid w:val="00DD635A"/>
    <w:rsid w:val="00DD7A3A"/>
    <w:rsid w:val="00DF42E3"/>
    <w:rsid w:val="00E038E0"/>
    <w:rsid w:val="00E2700A"/>
    <w:rsid w:val="00E32111"/>
    <w:rsid w:val="00E333DA"/>
    <w:rsid w:val="00E45C37"/>
    <w:rsid w:val="00E52854"/>
    <w:rsid w:val="00E637B1"/>
    <w:rsid w:val="00E830C5"/>
    <w:rsid w:val="00E979F2"/>
    <w:rsid w:val="00EA18D7"/>
    <w:rsid w:val="00EA5808"/>
    <w:rsid w:val="00EC05ED"/>
    <w:rsid w:val="00EC2297"/>
    <w:rsid w:val="00EC5C63"/>
    <w:rsid w:val="00ED2423"/>
    <w:rsid w:val="00ED3995"/>
    <w:rsid w:val="00ED5D2F"/>
    <w:rsid w:val="00EE0741"/>
    <w:rsid w:val="00EF73EA"/>
    <w:rsid w:val="00F0694C"/>
    <w:rsid w:val="00F214A8"/>
    <w:rsid w:val="00F32E61"/>
    <w:rsid w:val="00F42EA7"/>
    <w:rsid w:val="00F64F18"/>
    <w:rsid w:val="00F831E4"/>
    <w:rsid w:val="00FB1BD5"/>
    <w:rsid w:val="00FB3B75"/>
    <w:rsid w:val="00FB7100"/>
    <w:rsid w:val="00FC1203"/>
    <w:rsid w:val="00FD64D9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2EC24"/>
  <w15:chartTrackingRefBased/>
  <w15:docId w15:val="{41B2ECFF-3535-4605-A654-4BFE41C2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2E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4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40E"/>
  </w:style>
  <w:style w:type="paragraph" w:styleId="Piedepgina">
    <w:name w:val="footer"/>
    <w:basedOn w:val="Normal"/>
    <w:link w:val="PiedepginaCar"/>
    <w:uiPriority w:val="99"/>
    <w:unhideWhenUsed/>
    <w:rsid w:val="009C34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40E"/>
  </w:style>
  <w:style w:type="character" w:styleId="Hipervnculo">
    <w:name w:val="Hyperlink"/>
    <w:basedOn w:val="Fuentedeprrafopredeter"/>
    <w:uiPriority w:val="99"/>
    <w:unhideWhenUsed/>
    <w:rsid w:val="00FB710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EA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54C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1560E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14D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4D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4D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4D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4DA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B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89D7-E946-422A-A4EF-6629B6ED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1015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Mauricio Bustos Zarate</cp:lastModifiedBy>
  <cp:revision>4</cp:revision>
  <cp:lastPrinted>2026-04-20T15:14:00Z</cp:lastPrinted>
  <dcterms:created xsi:type="dcterms:W3CDTF">2026-05-29T13:42:00Z</dcterms:created>
  <dcterms:modified xsi:type="dcterms:W3CDTF">2026-05-29T13:46:00Z</dcterms:modified>
</cp:coreProperties>
</file>