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86F3" w14:textId="4FF54644" w:rsidR="00D028DA" w:rsidRDefault="00D028DA">
      <w:pPr>
        <w:rPr>
          <w:lang w:val="es-CL"/>
        </w:rPr>
      </w:pPr>
      <w:r w:rsidRPr="00D028DA">
        <w:rPr>
          <w:lang w:val="es-CL"/>
        </w:rPr>
        <w:t>1</w:t>
      </w:r>
      <w:r>
        <w:rPr>
          <w:lang w:val="es-CL"/>
        </w:rPr>
        <w:t>3</w:t>
      </w:r>
      <w:r w:rsidRPr="00D028DA">
        <w:rPr>
          <w:lang w:val="es-CL"/>
        </w:rPr>
        <w:t xml:space="preserve"> </w:t>
      </w:r>
      <w:proofErr w:type="gramStart"/>
      <w:r w:rsidRPr="00D028DA">
        <w:rPr>
          <w:lang w:val="es-CL"/>
        </w:rPr>
        <w:t>Noviembre</w:t>
      </w:r>
      <w:proofErr w:type="gramEnd"/>
      <w:r w:rsidRPr="00D028DA">
        <w:rPr>
          <w:lang w:val="es-CL"/>
        </w:rPr>
        <w:t xml:space="preserve"> 2024</w:t>
      </w:r>
    </w:p>
    <w:p w14:paraId="2DD8B905" w14:textId="77777777" w:rsidR="00D028DA" w:rsidRDefault="00D028DA">
      <w:pPr>
        <w:rPr>
          <w:lang w:val="es-CL"/>
        </w:rPr>
      </w:pPr>
    </w:p>
    <w:p w14:paraId="0C36D0D7" w14:textId="12D48220" w:rsidR="00D028DA" w:rsidRDefault="00D028DA">
      <w:pPr>
        <w:rPr>
          <w:lang w:val="es-CL"/>
        </w:rPr>
      </w:pPr>
      <w:r w:rsidRPr="00D028DA">
        <w:rPr>
          <w:lang w:val="es-CL"/>
        </w:rPr>
        <w:t xml:space="preserve">Servicio Nacional de Aduanas </w:t>
      </w:r>
    </w:p>
    <w:p w14:paraId="78D0289E" w14:textId="2DF66F12" w:rsidR="00D028DA" w:rsidRDefault="00D028DA">
      <w:pPr>
        <w:rPr>
          <w:lang w:val="es-CL"/>
        </w:rPr>
      </w:pPr>
      <w:r w:rsidRPr="00D028DA">
        <w:rPr>
          <w:lang w:val="es-CL"/>
        </w:rPr>
        <w:t>Estimados Señores</w:t>
      </w:r>
    </w:p>
    <w:p w14:paraId="64F4F10C" w14:textId="06DE2493" w:rsidR="001D4610" w:rsidRPr="00D028DA" w:rsidRDefault="00D028DA">
      <w:pPr>
        <w:rPr>
          <w:b/>
          <w:bCs/>
          <w:lang w:val="es-CL"/>
        </w:rPr>
      </w:pPr>
      <w:proofErr w:type="spellStart"/>
      <w:r w:rsidRPr="00D028DA">
        <w:rPr>
          <w:b/>
          <w:bCs/>
          <w:lang w:val="es-CL"/>
        </w:rPr>
        <w:t>Ref</w:t>
      </w:r>
      <w:proofErr w:type="spellEnd"/>
      <w:r w:rsidRPr="00D028DA">
        <w:rPr>
          <w:b/>
          <w:bCs/>
          <w:lang w:val="es-CL"/>
        </w:rPr>
        <w:t>:</w:t>
      </w:r>
      <w:r w:rsidRPr="00D028DA">
        <w:rPr>
          <w:lang w:val="es-CL"/>
        </w:rPr>
        <w:t xml:space="preserve"> </w:t>
      </w:r>
      <w:r w:rsidRPr="00D028DA">
        <w:rPr>
          <w:b/>
          <w:bCs/>
          <w:lang w:val="es-CL"/>
        </w:rPr>
        <w:t xml:space="preserve">Proyecto de Resolución que modifica el Compendio de Normas Aduaneras, para incorporar el Apéndice XI sobre Tolerancia para la exportación de Concentrado de Cobre. </w:t>
      </w:r>
    </w:p>
    <w:p w14:paraId="21E91A19" w14:textId="77777777" w:rsidR="00D028DA" w:rsidRPr="00D028DA" w:rsidRDefault="00D028DA" w:rsidP="00D028DA">
      <w:pPr>
        <w:rPr>
          <w:lang w:val="es-CL"/>
        </w:rPr>
      </w:pPr>
      <w:r w:rsidRPr="00D028DA">
        <w:rPr>
          <w:lang w:val="es-CL"/>
        </w:rPr>
        <w:t>Compartimos nuestras observaciones sobre la publicación anticipada, como se detalla a continuación:</w:t>
      </w:r>
    </w:p>
    <w:p w14:paraId="01DCD57E" w14:textId="7361A3FC" w:rsidR="00D028DA" w:rsidRPr="00D028DA" w:rsidRDefault="00D028DA" w:rsidP="00D028DA">
      <w:pPr>
        <w:rPr>
          <w:lang w:val="es-CL"/>
        </w:rPr>
      </w:pPr>
      <w:r w:rsidRPr="00D028DA">
        <w:rPr>
          <w:lang w:val="es-CL"/>
        </w:rPr>
        <w:t>Las facturas de concentrado de cobre por lotes de 10.000 toneladas usualmente pueden alcanzar valores importantes, que están determinados particularmente por tres factores: uno es el periodo de cotización, otro es el contenido de minerales pagables y, por último, pero no menos importante, los términos contractuales.</w:t>
      </w:r>
    </w:p>
    <w:p w14:paraId="101569A5" w14:textId="77777777" w:rsidR="00D028DA" w:rsidRPr="00D028DA" w:rsidRDefault="00D028DA" w:rsidP="00D028DA">
      <w:pPr>
        <w:rPr>
          <w:lang w:val="es-CL"/>
        </w:rPr>
      </w:pPr>
      <w:r w:rsidRPr="00D028DA">
        <w:rPr>
          <w:lang w:val="es-CL"/>
        </w:rPr>
        <w:t>Los términos contractuales usualmente indican un valor provisional que se determina de común acuerdo entre vendedor y comprador. Este valor puede ser el promedio del mes anterior, el del día del BL o cualquier otro que haya sido acordado entre las partes. Luego, estos valores varían de acuerdo con el periodo de cotización pactado, pudiendo experimentar un alza o un descenso sustancial. A continuación, se presenta un ejemplo de cálculo en un embarque de 10.000 toneladas secas:</w:t>
      </w:r>
    </w:p>
    <w:p w14:paraId="20828C6D" w14:textId="77777777" w:rsidR="00D028DA" w:rsidRPr="00D028DA" w:rsidRDefault="00D028DA" w:rsidP="00D028DA">
      <w:pPr>
        <w:rPr>
          <w:lang w:val="es-CL"/>
        </w:rPr>
      </w:pPr>
    </w:p>
    <w:p w14:paraId="4B51EEE3" w14:textId="77777777" w:rsidR="00D028DA" w:rsidRPr="00D028DA" w:rsidRDefault="00D028DA" w:rsidP="00D028DA">
      <w:pPr>
        <w:rPr>
          <w:b/>
          <w:bCs/>
          <w:lang w:val="es-CL"/>
        </w:rPr>
      </w:pPr>
      <w:r w:rsidRPr="00D028DA">
        <w:rPr>
          <w:b/>
          <w:bCs/>
          <w:lang w:val="es-CL"/>
        </w:rPr>
        <w:t xml:space="preserve">Ejemplos de variaciones de precios, que generan un delta por sobre el 5% </w:t>
      </w:r>
    </w:p>
    <w:p w14:paraId="21466AA2" w14:textId="77777777" w:rsidR="00D028DA" w:rsidRPr="00D028DA" w:rsidRDefault="00D028DA" w:rsidP="00D028DA">
      <w:pPr>
        <w:rPr>
          <w:lang w:val="es-CL"/>
        </w:rPr>
      </w:pPr>
    </w:p>
    <w:p w14:paraId="25759F78" w14:textId="0238059C" w:rsidR="00D028DA" w:rsidRPr="00D028DA" w:rsidRDefault="00D028DA" w:rsidP="00D028DA">
      <w:pPr>
        <w:rPr>
          <w:lang w:val="es-CL"/>
        </w:rPr>
      </w:pPr>
      <w:r w:rsidRPr="00D028DA">
        <w:rPr>
          <w:noProof/>
          <w:lang w:val="es-CL"/>
        </w:rPr>
        <w:drawing>
          <wp:inline distT="0" distB="0" distL="0" distR="0" wp14:anchorId="3A6A7A78" wp14:editId="02BC05D2">
            <wp:extent cx="5943600" cy="2518410"/>
            <wp:effectExtent l="0" t="0" r="0" b="15240"/>
            <wp:docPr id="17550733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2518410"/>
                    </a:xfrm>
                    <a:prstGeom prst="rect">
                      <a:avLst/>
                    </a:prstGeom>
                    <a:noFill/>
                    <a:ln>
                      <a:noFill/>
                    </a:ln>
                  </pic:spPr>
                </pic:pic>
              </a:graphicData>
            </a:graphic>
          </wp:inline>
        </w:drawing>
      </w:r>
    </w:p>
    <w:p w14:paraId="2C739789" w14:textId="77777777" w:rsidR="00D028DA" w:rsidRPr="00D028DA" w:rsidRDefault="00D028DA" w:rsidP="00D028DA">
      <w:pPr>
        <w:rPr>
          <w:b/>
          <w:bCs/>
          <w:lang w:val="es-CL"/>
        </w:rPr>
      </w:pPr>
    </w:p>
    <w:p w14:paraId="3D20FFB4" w14:textId="77777777" w:rsidR="00D028DA" w:rsidRDefault="00D028DA" w:rsidP="00D028DA">
      <w:pPr>
        <w:rPr>
          <w:lang w:val="es-CL"/>
        </w:rPr>
      </w:pPr>
    </w:p>
    <w:p w14:paraId="69892D8C" w14:textId="3277E88C" w:rsidR="00D028DA" w:rsidRPr="00D028DA" w:rsidRDefault="00D028DA" w:rsidP="00D028DA">
      <w:pPr>
        <w:rPr>
          <w:lang w:val="es-CL"/>
        </w:rPr>
      </w:pPr>
      <w:r w:rsidRPr="00D028DA">
        <w:rPr>
          <w:lang w:val="es-CL"/>
        </w:rPr>
        <w:t xml:space="preserve">Solo considerando el factor precio, tenemos casos en los que los montos varían por sobre el 5% sugerido en la publicación, uno de forma positiva y </w:t>
      </w:r>
      <w:proofErr w:type="gramStart"/>
      <w:r w:rsidRPr="00D028DA">
        <w:rPr>
          <w:lang w:val="es-CL"/>
        </w:rPr>
        <w:t>otro negativa</w:t>
      </w:r>
      <w:proofErr w:type="gramEnd"/>
      <w:r w:rsidRPr="00D028DA">
        <w:rPr>
          <w:lang w:val="es-CL"/>
        </w:rPr>
        <w:t xml:space="preserve"> en su liquidación final. </w:t>
      </w:r>
    </w:p>
    <w:p w14:paraId="4EA53856" w14:textId="77777777" w:rsidR="00D028DA" w:rsidRPr="00D028DA" w:rsidRDefault="00D028DA" w:rsidP="00D028DA">
      <w:pPr>
        <w:rPr>
          <w:lang w:val="es-CL"/>
        </w:rPr>
      </w:pPr>
    </w:p>
    <w:p w14:paraId="336F2B56" w14:textId="77777777" w:rsidR="00D028DA" w:rsidRPr="00D028DA" w:rsidRDefault="00D028DA" w:rsidP="00D028DA">
      <w:pPr>
        <w:rPr>
          <w:lang w:val="es-CL"/>
        </w:rPr>
      </w:pPr>
      <w:r w:rsidRPr="00D028DA">
        <w:rPr>
          <w:lang w:val="es-CL"/>
        </w:rPr>
        <w:t xml:space="preserve">Otro punto importante es la determinación de leyes. Si bien la aduana solicita realizar análisis en base a un </w:t>
      </w:r>
      <w:proofErr w:type="spellStart"/>
      <w:r w:rsidRPr="00D028DA">
        <w:rPr>
          <w:lang w:val="es-CL"/>
        </w:rPr>
        <w:t>composito</w:t>
      </w:r>
      <w:proofErr w:type="spellEnd"/>
      <w:r w:rsidRPr="00D028DA">
        <w:rPr>
          <w:lang w:val="es-CL"/>
        </w:rPr>
        <w:t>, que funciona como referencia para la facturación de la exportación, la ley final comercial se determina de manera diferente. Para esta determinación, se acuerda contractualmente la composición de los lotes, que pueden ser de 250 o 500 toneladas. Estos lotes generan una muestra que luego es analizada por las partes. Un análisis lo realiza el comprador y el otro el vendedor, ambos usualmente de forma independiente. Una vez obtenidos los resultados, las partes realizan un intercambio donde se comparan los valores obtenidos por ambos. En algunos casos, los valores pueden estar fuera del rango contractual, lo que podría resultar en un acuerdo de partición o en el envío de una muestra testigo a arbitraje. En este caso, un laboratorio independiente, acordado por contrato por ambas partes, determinaría el resultado.</w:t>
      </w:r>
    </w:p>
    <w:p w14:paraId="4ADE51E4" w14:textId="77777777" w:rsidR="00D028DA" w:rsidRPr="00D028DA" w:rsidRDefault="00D028DA" w:rsidP="00D028DA">
      <w:pPr>
        <w:rPr>
          <w:lang w:val="es-CL"/>
        </w:rPr>
      </w:pPr>
    </w:p>
    <w:p w14:paraId="4DF874E3" w14:textId="77777777" w:rsidR="00D028DA" w:rsidRPr="00D028DA" w:rsidRDefault="00D028DA" w:rsidP="00D028DA">
      <w:pPr>
        <w:rPr>
          <w:lang w:val="es-CL"/>
        </w:rPr>
      </w:pPr>
      <w:r w:rsidRPr="00D028DA">
        <w:rPr>
          <w:lang w:val="es-CL"/>
        </w:rPr>
        <w:t>Por lo tanto, el procedimiento de determinación de leyes realizado comercialmente, aunque es compatible con el realizado por el SNA para la legalización del DUS, muestra mayor precisión que el exigido actualmente por la autoridad.</w:t>
      </w:r>
    </w:p>
    <w:p w14:paraId="4FA9193B" w14:textId="77777777" w:rsidR="00D028DA" w:rsidRPr="00D028DA" w:rsidRDefault="00D028DA" w:rsidP="00D028DA">
      <w:pPr>
        <w:rPr>
          <w:lang w:val="es-CL"/>
        </w:rPr>
      </w:pPr>
      <w:r w:rsidRPr="00D028DA">
        <w:rPr>
          <w:lang w:val="es-CL"/>
        </w:rPr>
        <w:t xml:space="preserve">Otro ítem importante es que algunos contratos comerciales consideran un cambio por escala. Por ejemplo, si el contenido de cobre es de un 25%, se paga el 90% del mismo, pero si el contenido está por encima del 28%, se paga el 96% del cobre contenido. Esto podría generar un impacto superior al del 5% sugerido por el SNA en la publicación. </w:t>
      </w:r>
    </w:p>
    <w:p w14:paraId="2539D470" w14:textId="77777777" w:rsidR="00D028DA" w:rsidRPr="00D028DA" w:rsidRDefault="00D028DA" w:rsidP="00D028DA">
      <w:pPr>
        <w:rPr>
          <w:lang w:val="es-CL"/>
        </w:rPr>
      </w:pPr>
    </w:p>
    <w:p w14:paraId="369784A9" w14:textId="77777777" w:rsidR="00D028DA" w:rsidRDefault="00D028DA" w:rsidP="00D028DA">
      <w:pPr>
        <w:rPr>
          <w:lang w:val="es-CL"/>
        </w:rPr>
      </w:pPr>
      <w:r w:rsidRPr="00D028DA">
        <w:rPr>
          <w:lang w:val="es-CL"/>
        </w:rPr>
        <w:t>Como sugerencia, el SNA podría enfocarse en considerar las diferencias entre los valores declarados como contenidos para los elementos pagables, fijando este porcentaje de variación entre los valores provisionales y finales.</w:t>
      </w:r>
    </w:p>
    <w:p w14:paraId="7B1F28BA" w14:textId="77777777" w:rsidR="00D028DA" w:rsidRDefault="00D028DA" w:rsidP="00D028DA">
      <w:pPr>
        <w:rPr>
          <w:lang w:val="es-CL"/>
        </w:rPr>
      </w:pPr>
    </w:p>
    <w:p w14:paraId="4BA5650A" w14:textId="77777777" w:rsidR="008D5D36" w:rsidRDefault="008D5D36" w:rsidP="00D028DA">
      <w:pPr>
        <w:rPr>
          <w:lang w:val="es-CL"/>
        </w:rPr>
      </w:pPr>
    </w:p>
    <w:p w14:paraId="3EA082C6" w14:textId="1E8B9799" w:rsidR="00D028DA" w:rsidRDefault="00D028DA">
      <w:pPr>
        <w:rPr>
          <w:lang w:val="es-CL"/>
        </w:rPr>
      </w:pPr>
      <w:r>
        <w:rPr>
          <w:lang w:val="es-CL"/>
        </w:rPr>
        <w:t xml:space="preserve">Atento a sus comentarios, </w:t>
      </w:r>
    </w:p>
    <w:p w14:paraId="172B517A" w14:textId="4D074982" w:rsidR="00D028DA" w:rsidRDefault="00D028DA">
      <w:pPr>
        <w:rPr>
          <w:lang w:val="es-CL"/>
        </w:rPr>
      </w:pPr>
      <w:r>
        <w:rPr>
          <w:lang w:val="es-CL"/>
        </w:rPr>
        <w:t>Saludos</w:t>
      </w:r>
    </w:p>
    <w:p w14:paraId="1865092F" w14:textId="19CF61BC" w:rsidR="00D028DA" w:rsidRDefault="00D028DA">
      <w:pPr>
        <w:rPr>
          <w:lang w:val="es-CL"/>
        </w:rPr>
      </w:pPr>
      <w:r>
        <w:rPr>
          <w:lang w:val="es-CL"/>
        </w:rPr>
        <w:t xml:space="preserve">Ruben Valdenegro </w:t>
      </w:r>
    </w:p>
    <w:p w14:paraId="5BA1E5E2" w14:textId="77777777" w:rsidR="00D028DA" w:rsidRPr="00D028DA" w:rsidRDefault="00D028DA" w:rsidP="00D028DA">
      <w:r w:rsidRPr="00D028DA">
        <w:t>Senior Contract Administrator, Concentrate &amp; Metal Sales</w:t>
      </w:r>
    </w:p>
    <w:p w14:paraId="1292F105" w14:textId="530EBC8F" w:rsidR="00D028DA" w:rsidRPr="00D028DA" w:rsidRDefault="00D028DA">
      <w:pPr>
        <w:rPr>
          <w:lang w:val="es-CL"/>
        </w:rPr>
      </w:pPr>
      <w:r w:rsidRPr="00D028DA">
        <w:rPr>
          <w:lang w:val="es-CL"/>
        </w:rPr>
        <w:br/>
      </w:r>
    </w:p>
    <w:sectPr w:rsidR="00D028DA" w:rsidRPr="00D028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519F" w14:textId="77777777" w:rsidR="00764133" w:rsidRDefault="00764133" w:rsidP="00D028DA">
      <w:pPr>
        <w:spacing w:after="0" w:line="240" w:lineRule="auto"/>
      </w:pPr>
      <w:r>
        <w:separator/>
      </w:r>
    </w:p>
  </w:endnote>
  <w:endnote w:type="continuationSeparator" w:id="0">
    <w:p w14:paraId="494AD611" w14:textId="77777777" w:rsidR="00764133" w:rsidRDefault="00764133" w:rsidP="00D0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4919" w14:textId="792F585C" w:rsidR="008D5D36" w:rsidRDefault="008D5D36">
    <w:pPr>
      <w:pStyle w:val="Piedepgina"/>
    </w:pPr>
    <w:r w:rsidRPr="00D028DA">
      <w:rPr>
        <w:noProof/>
        <w:lang w:val="en-CA"/>
      </w:rPr>
      <w:drawing>
        <wp:inline distT="0" distB="0" distL="0" distR="0" wp14:anchorId="285DC047" wp14:editId="2FA62B33">
          <wp:extent cx="1304925" cy="581025"/>
          <wp:effectExtent l="0" t="0" r="9525" b="9525"/>
          <wp:docPr id="1235838007"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B08A" w14:textId="77777777" w:rsidR="00764133" w:rsidRDefault="00764133" w:rsidP="00D028DA">
      <w:pPr>
        <w:spacing w:after="0" w:line="240" w:lineRule="auto"/>
      </w:pPr>
      <w:r>
        <w:separator/>
      </w:r>
    </w:p>
  </w:footnote>
  <w:footnote w:type="continuationSeparator" w:id="0">
    <w:p w14:paraId="44626BD2" w14:textId="77777777" w:rsidR="00764133" w:rsidRDefault="00764133" w:rsidP="00D02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6B71" w14:textId="57EE1FA9" w:rsidR="00D028DA" w:rsidRPr="00D028DA" w:rsidRDefault="00D028DA" w:rsidP="00D028DA">
    <w:r>
      <w:rPr>
        <w:noProof/>
      </w:rPr>
      <mc:AlternateContent>
        <mc:Choice Requires="wps">
          <w:drawing>
            <wp:anchor distT="0" distB="0" distL="114300" distR="114300" simplePos="0" relativeHeight="251658752" behindDoc="0" locked="0" layoutInCell="1" allowOverlap="1" wp14:anchorId="4DCEC8E8" wp14:editId="10FE47C6">
              <wp:simplePos x="0" y="0"/>
              <wp:positionH relativeFrom="column">
                <wp:posOffset>3990975</wp:posOffset>
              </wp:positionH>
              <wp:positionV relativeFrom="paragraph">
                <wp:posOffset>38100</wp:posOffset>
              </wp:positionV>
              <wp:extent cx="2533015" cy="727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72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66179" w14:textId="77777777" w:rsidR="00D028DA" w:rsidRPr="00CF24C3" w:rsidRDefault="00D028DA" w:rsidP="00D028DA">
                          <w:pPr>
                            <w:jc w:val="right"/>
                            <w:rPr>
                              <w:rFonts w:ascii="Calibri" w:hAnsi="Calibri" w:cs="Calibri"/>
                              <w:color w:val="455560"/>
                              <w:sz w:val="16"/>
                              <w:szCs w:val="16"/>
                              <w:lang w:val="es-ES"/>
                            </w:rPr>
                          </w:pPr>
                          <w:r w:rsidRPr="00CF24C3">
                            <w:rPr>
                              <w:rFonts w:ascii="Calibri" w:hAnsi="Calibri" w:cs="Calibri"/>
                              <w:color w:val="455560"/>
                              <w:sz w:val="16"/>
                              <w:szCs w:val="16"/>
                              <w:lang w:val="es-ES"/>
                            </w:rPr>
                            <w:t>Anto</w:t>
                          </w:r>
                          <w:r>
                            <w:rPr>
                              <w:rFonts w:ascii="Calibri" w:hAnsi="Calibri" w:cs="Calibri"/>
                              <w:color w:val="455560"/>
                              <w:sz w:val="16"/>
                              <w:szCs w:val="16"/>
                              <w:lang w:val="es-ES"/>
                            </w:rPr>
                            <w:t xml:space="preserve">nio </w:t>
                          </w:r>
                          <w:proofErr w:type="spellStart"/>
                          <w:r>
                            <w:rPr>
                              <w:rFonts w:ascii="Calibri" w:hAnsi="Calibri" w:cs="Calibri"/>
                              <w:color w:val="455560"/>
                              <w:sz w:val="16"/>
                              <w:szCs w:val="16"/>
                              <w:lang w:val="es-ES"/>
                            </w:rPr>
                            <w:t>Bellet</w:t>
                          </w:r>
                          <w:proofErr w:type="spellEnd"/>
                          <w:r>
                            <w:rPr>
                              <w:rFonts w:ascii="Calibri" w:hAnsi="Calibri" w:cs="Calibri"/>
                              <w:color w:val="455560"/>
                              <w:sz w:val="16"/>
                              <w:szCs w:val="16"/>
                              <w:lang w:val="es-ES"/>
                            </w:rPr>
                            <w:t xml:space="preserve"> 292, Oficina 706,</w:t>
                          </w:r>
                        </w:p>
                        <w:p w14:paraId="0B963042" w14:textId="77777777" w:rsidR="00D028DA" w:rsidRPr="00CF24C3" w:rsidRDefault="00D028DA" w:rsidP="00D028DA">
                          <w:pPr>
                            <w:jc w:val="right"/>
                            <w:rPr>
                              <w:rFonts w:ascii="Calibri" w:hAnsi="Calibri" w:cs="Calibri"/>
                              <w:color w:val="455560"/>
                              <w:sz w:val="16"/>
                              <w:szCs w:val="16"/>
                              <w:lang w:val="es-ES"/>
                            </w:rPr>
                          </w:pPr>
                          <w:r>
                            <w:rPr>
                              <w:rFonts w:ascii="Calibri" w:hAnsi="Calibri" w:cs="Calibri"/>
                              <w:color w:val="455560"/>
                              <w:sz w:val="16"/>
                              <w:szCs w:val="16"/>
                              <w:lang w:val="es-ES"/>
                            </w:rPr>
                            <w:t>Providencia, Santiago, Chile</w:t>
                          </w:r>
                        </w:p>
                        <w:p w14:paraId="1BC60A87" w14:textId="77777777" w:rsidR="00D028DA" w:rsidRPr="00CF24C3" w:rsidRDefault="00D028DA" w:rsidP="00D028DA">
                          <w:pPr>
                            <w:jc w:val="right"/>
                            <w:rPr>
                              <w:rFonts w:ascii="Calibri" w:hAnsi="Calibri" w:cs="Calibri"/>
                              <w:color w:val="455560"/>
                              <w:sz w:val="16"/>
                              <w:szCs w:val="16"/>
                              <w:lang w:val="es-ES"/>
                            </w:rPr>
                          </w:pPr>
                          <w:r w:rsidRPr="00CF24C3">
                            <w:rPr>
                              <w:rFonts w:ascii="Calibri" w:hAnsi="Calibri" w:cs="Calibri"/>
                              <w:color w:val="455560"/>
                              <w:sz w:val="16"/>
                              <w:szCs w:val="16"/>
                              <w:lang w:val="es-ES"/>
                            </w:rPr>
                            <w:tab/>
                            <w:t xml:space="preserve">Tel: </w:t>
                          </w:r>
                          <w:r>
                            <w:rPr>
                              <w:rFonts w:ascii="Calibri" w:hAnsi="Calibri" w:cs="Calibri"/>
                              <w:color w:val="455560"/>
                              <w:sz w:val="16"/>
                              <w:szCs w:val="16"/>
                              <w:lang w:val="es-ES"/>
                            </w:rPr>
                            <w:t>+56 552693001</w:t>
                          </w:r>
                        </w:p>
                        <w:p w14:paraId="178E9983" w14:textId="77777777" w:rsidR="00D028DA" w:rsidRPr="007C3D29" w:rsidRDefault="00D028DA" w:rsidP="00D028DA">
                          <w:pPr>
                            <w:jc w:val="right"/>
                            <w:rPr>
                              <w:rFonts w:ascii="Calibri" w:hAnsi="Calibri" w:cs="Calibri"/>
                              <w:color w:val="D8671A"/>
                              <w:sz w:val="16"/>
                              <w:szCs w:val="16"/>
                            </w:rPr>
                          </w:pPr>
                          <w:r w:rsidRPr="007C3D29">
                            <w:rPr>
                              <w:rFonts w:ascii="Calibri" w:hAnsi="Calibri" w:cs="Calibri"/>
                              <w:color w:val="D8671A"/>
                              <w:sz w:val="16"/>
                              <w:szCs w:val="16"/>
                            </w:rPr>
                            <w:t>www.capstone</w:t>
                          </w:r>
                          <w:r>
                            <w:rPr>
                              <w:rFonts w:ascii="Calibri" w:hAnsi="Calibri" w:cs="Calibri"/>
                              <w:color w:val="D8671A"/>
                              <w:sz w:val="16"/>
                              <w:szCs w:val="16"/>
                            </w:rPr>
                            <w:t>copper</w:t>
                          </w:r>
                          <w:r w:rsidRPr="007C3D29">
                            <w:rPr>
                              <w:rFonts w:ascii="Calibri" w:hAnsi="Calibri" w:cs="Calibri"/>
                              <w:color w:val="D8671A"/>
                              <w:sz w:val="16"/>
                              <w:szCs w:val="16"/>
                            </w:rPr>
                            <w:t>.com</w:t>
                          </w:r>
                        </w:p>
                        <w:p w14:paraId="54A40078" w14:textId="77777777" w:rsidR="00D028DA" w:rsidRDefault="00D028DA" w:rsidP="00D028DA">
                          <w:pPr>
                            <w:jc w:val="right"/>
                          </w:pPr>
                        </w:p>
                        <w:p w14:paraId="32B2D92E" w14:textId="77777777" w:rsidR="00D028DA" w:rsidRDefault="00D028DA" w:rsidP="00D028DA">
                          <w:pPr>
                            <w:jc w:val="right"/>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DCEC8E8" id="_x0000_t202" coordsize="21600,21600" o:spt="202" path="m,l,21600r21600,l21600,xe">
              <v:stroke joinstyle="miter"/>
              <v:path gradientshapeok="t" o:connecttype="rect"/>
            </v:shapetype>
            <v:shape id="Text Box 2" o:spid="_x0000_s1026" type="#_x0000_t202" style="position:absolute;margin-left:314.25pt;margin-top:3pt;width:199.45pt;height:57.3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" stroked="f">
              <v:textbox>
                <w:txbxContent>
                  <w:p w14:paraId="2EC66179" w14:textId="77777777" w:rsidR="00D028DA" w:rsidRPr="00CF24C3" w:rsidRDefault="00D028DA" w:rsidP="00D028DA">
                    <w:pPr>
                      <w:jc w:val="right"/>
                      <w:rPr>
                        <w:rFonts w:ascii="Calibri" w:hAnsi="Calibri" w:cs="Calibri"/>
                        <w:color w:val="455560"/>
                        <w:sz w:val="16"/>
                        <w:szCs w:val="16"/>
                        <w:lang w:val="es-ES"/>
                      </w:rPr>
                    </w:pPr>
                    <w:r w:rsidRPr="00CF24C3">
                      <w:rPr>
                        <w:rFonts w:ascii="Calibri" w:hAnsi="Calibri" w:cs="Calibri"/>
                        <w:color w:val="455560"/>
                        <w:sz w:val="16"/>
                        <w:szCs w:val="16"/>
                        <w:lang w:val="es-ES"/>
                      </w:rPr>
                      <w:t>Anto</w:t>
                    </w:r>
                    <w:r>
                      <w:rPr>
                        <w:rFonts w:ascii="Calibri" w:hAnsi="Calibri" w:cs="Calibri"/>
                        <w:color w:val="455560"/>
                        <w:sz w:val="16"/>
                        <w:szCs w:val="16"/>
                        <w:lang w:val="es-ES"/>
                      </w:rPr>
                      <w:t xml:space="preserve">nio </w:t>
                    </w:r>
                    <w:proofErr w:type="spellStart"/>
                    <w:r>
                      <w:rPr>
                        <w:rFonts w:ascii="Calibri" w:hAnsi="Calibri" w:cs="Calibri"/>
                        <w:color w:val="455560"/>
                        <w:sz w:val="16"/>
                        <w:szCs w:val="16"/>
                        <w:lang w:val="es-ES"/>
                      </w:rPr>
                      <w:t>Bellet</w:t>
                    </w:r>
                    <w:proofErr w:type="spellEnd"/>
                    <w:r>
                      <w:rPr>
                        <w:rFonts w:ascii="Calibri" w:hAnsi="Calibri" w:cs="Calibri"/>
                        <w:color w:val="455560"/>
                        <w:sz w:val="16"/>
                        <w:szCs w:val="16"/>
                        <w:lang w:val="es-ES"/>
                      </w:rPr>
                      <w:t xml:space="preserve"> 292, Oficina 706,</w:t>
                    </w:r>
                  </w:p>
                  <w:p w14:paraId="0B963042" w14:textId="77777777" w:rsidR="00D028DA" w:rsidRPr="00CF24C3" w:rsidRDefault="00D028DA" w:rsidP="00D028DA">
                    <w:pPr>
                      <w:jc w:val="right"/>
                      <w:rPr>
                        <w:rFonts w:ascii="Calibri" w:hAnsi="Calibri" w:cs="Calibri"/>
                        <w:color w:val="455560"/>
                        <w:sz w:val="16"/>
                        <w:szCs w:val="16"/>
                        <w:lang w:val="es-ES"/>
                      </w:rPr>
                    </w:pPr>
                    <w:r>
                      <w:rPr>
                        <w:rFonts w:ascii="Calibri" w:hAnsi="Calibri" w:cs="Calibri"/>
                        <w:color w:val="455560"/>
                        <w:sz w:val="16"/>
                        <w:szCs w:val="16"/>
                        <w:lang w:val="es-ES"/>
                      </w:rPr>
                      <w:t>Providencia, Santiago, Chile</w:t>
                    </w:r>
                  </w:p>
                  <w:p w14:paraId="1BC60A87" w14:textId="77777777" w:rsidR="00D028DA" w:rsidRPr="00CF24C3" w:rsidRDefault="00D028DA" w:rsidP="00D028DA">
                    <w:pPr>
                      <w:jc w:val="right"/>
                      <w:rPr>
                        <w:rFonts w:ascii="Calibri" w:hAnsi="Calibri" w:cs="Calibri"/>
                        <w:color w:val="455560"/>
                        <w:sz w:val="16"/>
                        <w:szCs w:val="16"/>
                        <w:lang w:val="es-ES"/>
                      </w:rPr>
                    </w:pPr>
                    <w:r w:rsidRPr="00CF24C3">
                      <w:rPr>
                        <w:rFonts w:ascii="Calibri" w:hAnsi="Calibri" w:cs="Calibri"/>
                        <w:color w:val="455560"/>
                        <w:sz w:val="16"/>
                        <w:szCs w:val="16"/>
                        <w:lang w:val="es-ES"/>
                      </w:rPr>
                      <w:tab/>
                      <w:t xml:space="preserve">Tel: </w:t>
                    </w:r>
                    <w:r>
                      <w:rPr>
                        <w:rFonts w:ascii="Calibri" w:hAnsi="Calibri" w:cs="Calibri"/>
                        <w:color w:val="455560"/>
                        <w:sz w:val="16"/>
                        <w:szCs w:val="16"/>
                        <w:lang w:val="es-ES"/>
                      </w:rPr>
                      <w:t>+56 552693001</w:t>
                    </w:r>
                  </w:p>
                  <w:p w14:paraId="178E9983" w14:textId="77777777" w:rsidR="00D028DA" w:rsidRPr="007C3D29" w:rsidRDefault="00D028DA" w:rsidP="00D028DA">
                    <w:pPr>
                      <w:jc w:val="right"/>
                      <w:rPr>
                        <w:rFonts w:ascii="Calibri" w:hAnsi="Calibri" w:cs="Calibri"/>
                        <w:color w:val="D8671A"/>
                        <w:sz w:val="16"/>
                        <w:szCs w:val="16"/>
                      </w:rPr>
                    </w:pPr>
                    <w:r w:rsidRPr="007C3D29">
                      <w:rPr>
                        <w:rFonts w:ascii="Calibri" w:hAnsi="Calibri" w:cs="Calibri"/>
                        <w:color w:val="D8671A"/>
                        <w:sz w:val="16"/>
                        <w:szCs w:val="16"/>
                      </w:rPr>
                      <w:t>www.capstone</w:t>
                    </w:r>
                    <w:r>
                      <w:rPr>
                        <w:rFonts w:ascii="Calibri" w:hAnsi="Calibri" w:cs="Calibri"/>
                        <w:color w:val="D8671A"/>
                        <w:sz w:val="16"/>
                        <w:szCs w:val="16"/>
                      </w:rPr>
                      <w:t>copper</w:t>
                    </w:r>
                    <w:r w:rsidRPr="007C3D29">
                      <w:rPr>
                        <w:rFonts w:ascii="Calibri" w:hAnsi="Calibri" w:cs="Calibri"/>
                        <w:color w:val="D8671A"/>
                        <w:sz w:val="16"/>
                        <w:szCs w:val="16"/>
                      </w:rPr>
                      <w:t>.com</w:t>
                    </w:r>
                  </w:p>
                  <w:p w14:paraId="54A40078" w14:textId="77777777" w:rsidR="00D028DA" w:rsidRDefault="00D028DA" w:rsidP="00D028DA">
                    <w:pPr>
                      <w:jc w:val="right"/>
                    </w:pPr>
                  </w:p>
                  <w:p w14:paraId="32B2D92E" w14:textId="77777777" w:rsidR="00D028DA" w:rsidRDefault="00D028DA" w:rsidP="00D028DA">
                    <w:pPr>
                      <w:jc w:val="right"/>
                    </w:pPr>
                  </w:p>
                </w:txbxContent>
              </v:textbox>
            </v:shape>
          </w:pict>
        </mc:Fallback>
      </mc:AlternateContent>
    </w:r>
    <w:r>
      <w:rPr>
        <w:noProof/>
      </w:rPr>
      <w:drawing>
        <wp:inline distT="0" distB="0" distL="0" distR="0" wp14:anchorId="06142218" wp14:editId="4D6C97CF">
          <wp:extent cx="1393757" cy="624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06" cy="633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DA"/>
    <w:rsid w:val="001D4610"/>
    <w:rsid w:val="0024706E"/>
    <w:rsid w:val="004614D8"/>
    <w:rsid w:val="00764133"/>
    <w:rsid w:val="008D5D36"/>
    <w:rsid w:val="00977434"/>
    <w:rsid w:val="00AE06C6"/>
    <w:rsid w:val="00D028DA"/>
    <w:rsid w:val="00D34EE6"/>
    <w:rsid w:val="00FD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6C645"/>
  <w15:chartTrackingRefBased/>
  <w15:docId w15:val="{4AE23C8E-172F-485D-A56B-D584526E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28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28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28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28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28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28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28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28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28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28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28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28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28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28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28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28DA"/>
    <w:rPr>
      <w:rFonts w:eastAsiaTheme="majorEastAsia" w:cstheme="majorBidi"/>
      <w:color w:val="272727" w:themeColor="text1" w:themeTint="D8"/>
    </w:rPr>
  </w:style>
  <w:style w:type="paragraph" w:styleId="Ttulo">
    <w:name w:val="Title"/>
    <w:basedOn w:val="Normal"/>
    <w:next w:val="Normal"/>
    <w:link w:val="TtuloCar"/>
    <w:uiPriority w:val="10"/>
    <w:qFormat/>
    <w:rsid w:val="00D0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28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28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28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28DA"/>
    <w:pPr>
      <w:spacing w:before="160"/>
      <w:jc w:val="center"/>
    </w:pPr>
    <w:rPr>
      <w:i/>
      <w:iCs/>
      <w:color w:val="404040" w:themeColor="text1" w:themeTint="BF"/>
    </w:rPr>
  </w:style>
  <w:style w:type="character" w:customStyle="1" w:styleId="CitaCar">
    <w:name w:val="Cita Car"/>
    <w:basedOn w:val="Fuentedeprrafopredeter"/>
    <w:link w:val="Cita"/>
    <w:uiPriority w:val="29"/>
    <w:rsid w:val="00D028DA"/>
    <w:rPr>
      <w:i/>
      <w:iCs/>
      <w:color w:val="404040" w:themeColor="text1" w:themeTint="BF"/>
    </w:rPr>
  </w:style>
  <w:style w:type="paragraph" w:styleId="Prrafodelista">
    <w:name w:val="List Paragraph"/>
    <w:basedOn w:val="Normal"/>
    <w:uiPriority w:val="34"/>
    <w:qFormat/>
    <w:rsid w:val="00D028DA"/>
    <w:pPr>
      <w:ind w:left="720"/>
      <w:contextualSpacing/>
    </w:pPr>
  </w:style>
  <w:style w:type="character" w:styleId="nfasisintenso">
    <w:name w:val="Intense Emphasis"/>
    <w:basedOn w:val="Fuentedeprrafopredeter"/>
    <w:uiPriority w:val="21"/>
    <w:qFormat/>
    <w:rsid w:val="00D028DA"/>
    <w:rPr>
      <w:i/>
      <w:iCs/>
      <w:color w:val="0F4761" w:themeColor="accent1" w:themeShade="BF"/>
    </w:rPr>
  </w:style>
  <w:style w:type="paragraph" w:styleId="Citadestacada">
    <w:name w:val="Intense Quote"/>
    <w:basedOn w:val="Normal"/>
    <w:next w:val="Normal"/>
    <w:link w:val="CitadestacadaCar"/>
    <w:uiPriority w:val="30"/>
    <w:qFormat/>
    <w:rsid w:val="00D0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28DA"/>
    <w:rPr>
      <w:i/>
      <w:iCs/>
      <w:color w:val="0F4761" w:themeColor="accent1" w:themeShade="BF"/>
    </w:rPr>
  </w:style>
  <w:style w:type="character" w:styleId="Referenciaintensa">
    <w:name w:val="Intense Reference"/>
    <w:basedOn w:val="Fuentedeprrafopredeter"/>
    <w:uiPriority w:val="32"/>
    <w:qFormat/>
    <w:rsid w:val="00D028DA"/>
    <w:rPr>
      <w:b/>
      <w:bCs/>
      <w:smallCaps/>
      <w:color w:val="0F4761" w:themeColor="accent1" w:themeShade="BF"/>
      <w:spacing w:val="5"/>
    </w:rPr>
  </w:style>
  <w:style w:type="paragraph" w:styleId="Encabezado">
    <w:name w:val="header"/>
    <w:basedOn w:val="Normal"/>
    <w:link w:val="EncabezadoCar"/>
    <w:uiPriority w:val="99"/>
    <w:unhideWhenUsed/>
    <w:rsid w:val="00D028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028DA"/>
  </w:style>
  <w:style w:type="paragraph" w:styleId="Piedepgina">
    <w:name w:val="footer"/>
    <w:basedOn w:val="Normal"/>
    <w:link w:val="PiedepginaCar"/>
    <w:uiPriority w:val="99"/>
    <w:unhideWhenUsed/>
    <w:rsid w:val="00D028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028DA"/>
  </w:style>
  <w:style w:type="character" w:styleId="Hipervnculo">
    <w:name w:val="Hyperlink"/>
    <w:basedOn w:val="Fuentedeprrafopredeter"/>
    <w:uiPriority w:val="99"/>
    <w:unhideWhenUsed/>
    <w:rsid w:val="00D028DA"/>
    <w:rPr>
      <w:color w:val="467886" w:themeColor="hyperlink"/>
      <w:u w:val="single"/>
    </w:rPr>
  </w:style>
  <w:style w:type="character" w:styleId="Mencinsinresolver">
    <w:name w:val="Unresolved Mention"/>
    <w:basedOn w:val="Fuentedeprrafopredeter"/>
    <w:uiPriority w:val="99"/>
    <w:semiHidden/>
    <w:unhideWhenUsed/>
    <w:rsid w:val="00D0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967">
      <w:bodyDiv w:val="1"/>
      <w:marLeft w:val="0"/>
      <w:marRight w:val="0"/>
      <w:marTop w:val="0"/>
      <w:marBottom w:val="0"/>
      <w:divBdr>
        <w:top w:val="none" w:sz="0" w:space="0" w:color="auto"/>
        <w:left w:val="none" w:sz="0" w:space="0" w:color="auto"/>
        <w:bottom w:val="none" w:sz="0" w:space="0" w:color="auto"/>
        <w:right w:val="none" w:sz="0" w:space="0" w:color="auto"/>
      </w:divBdr>
    </w:div>
    <w:div w:id="1087114550">
      <w:bodyDiv w:val="1"/>
      <w:marLeft w:val="0"/>
      <w:marRight w:val="0"/>
      <w:marTop w:val="0"/>
      <w:marBottom w:val="0"/>
      <w:divBdr>
        <w:top w:val="none" w:sz="0" w:space="0" w:color="auto"/>
        <w:left w:val="none" w:sz="0" w:space="0" w:color="auto"/>
        <w:bottom w:val="none" w:sz="0" w:space="0" w:color="auto"/>
        <w:right w:val="none" w:sz="0" w:space="0" w:color="auto"/>
      </w:divBdr>
    </w:div>
    <w:div w:id="1263999580">
      <w:bodyDiv w:val="1"/>
      <w:marLeft w:val="0"/>
      <w:marRight w:val="0"/>
      <w:marTop w:val="0"/>
      <w:marBottom w:val="0"/>
      <w:divBdr>
        <w:top w:val="none" w:sz="0" w:space="0" w:color="auto"/>
        <w:left w:val="none" w:sz="0" w:space="0" w:color="auto"/>
        <w:bottom w:val="none" w:sz="0" w:space="0" w:color="auto"/>
        <w:right w:val="none" w:sz="0" w:space="0" w:color="auto"/>
      </w:divBdr>
    </w:div>
    <w:div w:id="1351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2.png@01DB3600.758FA6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B3600.758FA65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2749</Characters>
  <Application>Microsoft Office Word</Application>
  <DocSecurity>0</DocSecurity>
  <Lines>56</Lines>
  <Paragraphs>20</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Valdenegro Valdes</dc:creator>
  <cp:keywords/>
  <dc:description/>
  <cp:lastModifiedBy>Ruben  Valdenegro Valdes</cp:lastModifiedBy>
  <cp:revision>4</cp:revision>
  <dcterms:created xsi:type="dcterms:W3CDTF">2024-11-13T22:27:00Z</dcterms:created>
  <dcterms:modified xsi:type="dcterms:W3CDTF">2024-11-13T22:37:00Z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df02f4fc-d491-431c-addf-d10a86121c8b</vt:lpwstr>
  </property>
</Properties>
</file>