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64" w:rsidRDefault="00D732B0" w:rsidP="00932BCC">
      <w:pPr>
        <w:rPr>
          <w:rFonts w:ascii="Tahoma" w:hAnsi="Tahoma" w:cs="Tahoma"/>
          <w:sz w:val="22"/>
          <w:szCs w:val="22"/>
        </w:rPr>
      </w:pPr>
      <w:bookmarkStart w:id="0" w:name="_GoBack"/>
      <w:bookmarkEnd w:id="0"/>
      <w:r w:rsidRPr="000816DC">
        <w:rPr>
          <w:rFonts w:ascii="Tahoma" w:hAnsi="Tahoma" w:cs="Tahoma"/>
          <w:sz w:val="22"/>
          <w:szCs w:val="22"/>
        </w:rPr>
        <w:softHyphen/>
      </w:r>
      <w:r w:rsidR="00932BCC">
        <w:rPr>
          <w:rFonts w:ascii="Tahoma" w:hAnsi="Tahoma" w:cs="Tahoma"/>
          <w:sz w:val="22"/>
          <w:szCs w:val="22"/>
        </w:rPr>
        <w:tab/>
      </w:r>
      <w:r w:rsidR="00932BCC">
        <w:rPr>
          <w:rFonts w:ascii="Tahoma" w:hAnsi="Tahoma" w:cs="Tahoma"/>
          <w:sz w:val="22"/>
          <w:szCs w:val="22"/>
        </w:rPr>
        <w:tab/>
      </w:r>
      <w:r w:rsidR="00932BCC">
        <w:rPr>
          <w:rFonts w:ascii="Tahoma" w:hAnsi="Tahoma" w:cs="Tahoma"/>
          <w:sz w:val="22"/>
          <w:szCs w:val="22"/>
        </w:rPr>
        <w:tab/>
      </w:r>
      <w:r w:rsidR="00932BCC">
        <w:rPr>
          <w:rFonts w:ascii="Tahoma" w:hAnsi="Tahoma" w:cs="Tahoma"/>
          <w:sz w:val="22"/>
          <w:szCs w:val="22"/>
        </w:rPr>
        <w:tab/>
      </w:r>
      <w:r w:rsidR="00932BCC">
        <w:rPr>
          <w:rFonts w:ascii="Tahoma" w:hAnsi="Tahoma" w:cs="Tahoma"/>
          <w:sz w:val="22"/>
          <w:szCs w:val="22"/>
        </w:rPr>
        <w:tab/>
      </w:r>
    </w:p>
    <w:p w:rsidR="001D3405" w:rsidRDefault="001D3405" w:rsidP="003D0364">
      <w:pPr>
        <w:ind w:left="2832" w:firstLine="708"/>
        <w:rPr>
          <w:rFonts w:ascii="Tahoma" w:hAnsi="Tahoma" w:cs="Tahoma"/>
          <w:b/>
          <w:sz w:val="22"/>
          <w:szCs w:val="22"/>
        </w:rPr>
      </w:pPr>
      <w:r w:rsidRPr="000816DC">
        <w:rPr>
          <w:rFonts w:ascii="Tahoma" w:hAnsi="Tahoma" w:cs="Tahoma"/>
          <w:b/>
          <w:sz w:val="22"/>
          <w:szCs w:val="22"/>
        </w:rPr>
        <w:t>RESOLUCIÓN EXENTA N°</w:t>
      </w:r>
    </w:p>
    <w:p w:rsidR="00C421F5" w:rsidRDefault="00C421F5" w:rsidP="003D0364">
      <w:pPr>
        <w:ind w:left="2832" w:firstLine="708"/>
        <w:rPr>
          <w:rFonts w:ascii="Tahoma" w:hAnsi="Tahoma" w:cs="Tahoma"/>
          <w:b/>
          <w:sz w:val="22"/>
          <w:szCs w:val="22"/>
        </w:rPr>
      </w:pPr>
    </w:p>
    <w:p w:rsidR="00C46AA4" w:rsidRDefault="00C46AA4" w:rsidP="003D0364">
      <w:pPr>
        <w:ind w:left="2832" w:firstLine="708"/>
        <w:rPr>
          <w:rFonts w:ascii="Tahoma" w:hAnsi="Tahoma" w:cs="Tahoma"/>
          <w:b/>
          <w:sz w:val="22"/>
          <w:szCs w:val="22"/>
        </w:rPr>
      </w:pPr>
    </w:p>
    <w:p w:rsidR="00C421F5" w:rsidRPr="00932BCC" w:rsidRDefault="00C421F5" w:rsidP="003D0364">
      <w:pPr>
        <w:ind w:left="2832" w:firstLine="708"/>
        <w:rPr>
          <w:rFonts w:ascii="Tahoma" w:hAnsi="Tahoma" w:cs="Tahoma"/>
          <w:sz w:val="22"/>
          <w:szCs w:val="22"/>
        </w:rPr>
      </w:pPr>
      <w:r w:rsidRPr="00C46AA4">
        <w:rPr>
          <w:rFonts w:ascii="Tahoma" w:hAnsi="Tahoma" w:cs="Tahoma"/>
          <w:b/>
          <w:sz w:val="22"/>
          <w:szCs w:val="22"/>
        </w:rPr>
        <w:t>VALPARAISO</w:t>
      </w:r>
      <w:r>
        <w:rPr>
          <w:rFonts w:ascii="Tahoma" w:hAnsi="Tahoma" w:cs="Tahoma"/>
          <w:sz w:val="22"/>
          <w:szCs w:val="22"/>
        </w:rPr>
        <w:t xml:space="preserve">, </w:t>
      </w:r>
    </w:p>
    <w:p w:rsidR="001D3405" w:rsidRDefault="001D3405" w:rsidP="001D3405">
      <w:pPr>
        <w:rPr>
          <w:rFonts w:ascii="Tahoma" w:hAnsi="Tahoma" w:cs="Tahoma"/>
          <w:sz w:val="22"/>
          <w:szCs w:val="22"/>
        </w:rPr>
      </w:pPr>
    </w:p>
    <w:p w:rsidR="00C46AA4" w:rsidRDefault="00C46AA4" w:rsidP="001D3405">
      <w:pPr>
        <w:ind w:left="2832" w:firstLine="708"/>
        <w:rPr>
          <w:rFonts w:ascii="Tahoma" w:hAnsi="Tahoma" w:cs="Tahoma"/>
          <w:b/>
          <w:sz w:val="22"/>
          <w:szCs w:val="22"/>
        </w:rPr>
      </w:pPr>
    </w:p>
    <w:p w:rsidR="001D3405" w:rsidRDefault="001D3405" w:rsidP="001D3405">
      <w:pPr>
        <w:ind w:left="2832" w:firstLine="708"/>
        <w:rPr>
          <w:rFonts w:ascii="Tahoma" w:hAnsi="Tahoma" w:cs="Tahoma"/>
          <w:b/>
          <w:sz w:val="22"/>
          <w:szCs w:val="22"/>
        </w:rPr>
      </w:pPr>
      <w:r w:rsidRPr="000816DC">
        <w:rPr>
          <w:rFonts w:ascii="Tahoma" w:hAnsi="Tahoma" w:cs="Tahoma"/>
          <w:b/>
          <w:sz w:val="22"/>
          <w:szCs w:val="22"/>
        </w:rPr>
        <w:t>VISTOS:</w:t>
      </w:r>
    </w:p>
    <w:p w:rsidR="001D3405" w:rsidRPr="000816DC" w:rsidRDefault="001D3405" w:rsidP="001D3405">
      <w:pPr>
        <w:rPr>
          <w:rFonts w:ascii="Tahoma" w:hAnsi="Tahoma" w:cs="Tahoma"/>
          <w:b/>
          <w:sz w:val="22"/>
          <w:szCs w:val="22"/>
        </w:rPr>
      </w:pPr>
    </w:p>
    <w:p w:rsidR="001D3405" w:rsidRDefault="001D3405" w:rsidP="001D3405">
      <w:pPr>
        <w:ind w:firstLine="3544"/>
        <w:jc w:val="both"/>
        <w:rPr>
          <w:rFonts w:ascii="Tahoma" w:hAnsi="Tahoma" w:cs="Tahoma"/>
          <w:sz w:val="22"/>
          <w:szCs w:val="22"/>
        </w:rPr>
      </w:pPr>
      <w:r w:rsidRPr="004E27B9">
        <w:rPr>
          <w:rFonts w:ascii="Tahoma" w:hAnsi="Tahoma" w:cs="Tahoma"/>
          <w:sz w:val="22"/>
          <w:szCs w:val="22"/>
        </w:rPr>
        <w:t xml:space="preserve">Lo dispuesto en el </w:t>
      </w:r>
      <w:r w:rsidR="00003419">
        <w:rPr>
          <w:rFonts w:ascii="Tahoma" w:hAnsi="Tahoma" w:cs="Tahoma"/>
          <w:sz w:val="22"/>
          <w:szCs w:val="22"/>
        </w:rPr>
        <w:t>D</w:t>
      </w:r>
      <w:r w:rsidRPr="004E27B9">
        <w:rPr>
          <w:rFonts w:ascii="Tahoma" w:hAnsi="Tahoma" w:cs="Tahoma"/>
          <w:sz w:val="22"/>
          <w:szCs w:val="22"/>
        </w:rPr>
        <w:t>ecreto</w:t>
      </w:r>
      <w:r w:rsidR="00003419">
        <w:rPr>
          <w:rFonts w:ascii="Tahoma" w:hAnsi="Tahoma" w:cs="Tahoma"/>
          <w:sz w:val="22"/>
          <w:szCs w:val="22"/>
        </w:rPr>
        <w:t xml:space="preserve"> Supremo</w:t>
      </w:r>
      <w:r w:rsidRPr="004E27B9">
        <w:rPr>
          <w:rFonts w:ascii="Tahoma" w:hAnsi="Tahoma" w:cs="Tahoma"/>
          <w:sz w:val="22"/>
          <w:szCs w:val="22"/>
        </w:rPr>
        <w:t xml:space="preserve"> N° 16, de 1995, del Ministerio de Relaciones Exteriores, que promulga el "Acuerdo de Marrakech", por el que se establece la Organización Mundial del Comercio, y los Acuerdos Anexos que se indican, entre los que se encuentran el Acuerdo General sobre Aranceles Aduaneros y Comercio de 1994, también denominado "GATT de 1994" y el Acuerdo relativo a la aplicación del artículo VII del Acuerdo General sobre Aranceles Aduaneros y Comercio de 1994.</w:t>
      </w:r>
    </w:p>
    <w:p w:rsidR="00C84343" w:rsidRDefault="00C84343" w:rsidP="001D3405">
      <w:pPr>
        <w:ind w:firstLine="3544"/>
        <w:jc w:val="both"/>
        <w:rPr>
          <w:rFonts w:ascii="Tahoma" w:hAnsi="Tahoma" w:cs="Tahoma"/>
          <w:sz w:val="22"/>
          <w:szCs w:val="22"/>
        </w:rPr>
      </w:pPr>
    </w:p>
    <w:p w:rsidR="00786297" w:rsidRDefault="00786297" w:rsidP="001D3405">
      <w:pPr>
        <w:ind w:firstLine="3544"/>
        <w:jc w:val="both"/>
        <w:rPr>
          <w:rFonts w:ascii="Tahoma" w:hAnsi="Tahoma" w:cs="Tahoma"/>
          <w:sz w:val="22"/>
          <w:szCs w:val="22"/>
        </w:rPr>
      </w:pPr>
      <w:r w:rsidRPr="00786297">
        <w:rPr>
          <w:rFonts w:ascii="Tahoma" w:hAnsi="Tahoma" w:cs="Tahoma"/>
          <w:sz w:val="22"/>
          <w:szCs w:val="22"/>
        </w:rPr>
        <w:t>El Decreto N° 1.134, de 2001, del Ministerio de Hacienda, que contiene el “Reglamento para la aplicación del Acuerdo referente al Artículo VII del Acuerdo General sobre Aranceles y Comercio de 1994”.</w:t>
      </w:r>
    </w:p>
    <w:p w:rsidR="00786297" w:rsidRDefault="00786297" w:rsidP="001D3405">
      <w:pPr>
        <w:ind w:firstLine="3544"/>
        <w:jc w:val="both"/>
        <w:rPr>
          <w:rFonts w:ascii="Tahoma" w:hAnsi="Tahoma" w:cs="Tahoma"/>
          <w:sz w:val="22"/>
          <w:szCs w:val="22"/>
        </w:rPr>
      </w:pPr>
    </w:p>
    <w:p w:rsidR="00786297" w:rsidRDefault="00786297" w:rsidP="001D3405">
      <w:pPr>
        <w:ind w:firstLine="3544"/>
        <w:jc w:val="both"/>
        <w:rPr>
          <w:rFonts w:ascii="Tahoma" w:hAnsi="Tahoma" w:cs="Tahoma"/>
          <w:sz w:val="22"/>
          <w:szCs w:val="22"/>
        </w:rPr>
      </w:pPr>
      <w:r w:rsidRPr="00786297">
        <w:rPr>
          <w:rFonts w:ascii="Tahoma" w:hAnsi="Tahoma" w:cs="Tahoma"/>
          <w:sz w:val="22"/>
          <w:szCs w:val="22"/>
        </w:rPr>
        <w:t>El Decreto con fuerza de ley N° 329, de 1979, del Ministerio de Hacienda, Ley Orgánica del Servicio Nacional de Aduanas.</w:t>
      </w:r>
    </w:p>
    <w:p w:rsidR="00AE5060" w:rsidRDefault="00AE5060" w:rsidP="001D3405">
      <w:pPr>
        <w:ind w:firstLine="3544"/>
        <w:jc w:val="both"/>
        <w:rPr>
          <w:rFonts w:ascii="Tahoma" w:hAnsi="Tahoma" w:cs="Tahoma"/>
          <w:sz w:val="22"/>
          <w:szCs w:val="22"/>
        </w:rPr>
      </w:pPr>
    </w:p>
    <w:p w:rsidR="00E41D9A" w:rsidRDefault="00E41D9A" w:rsidP="001D3405">
      <w:pPr>
        <w:ind w:firstLine="3544"/>
        <w:jc w:val="both"/>
        <w:rPr>
          <w:rFonts w:ascii="Tahoma" w:hAnsi="Tahoma" w:cs="Tahoma"/>
          <w:sz w:val="22"/>
          <w:szCs w:val="22"/>
        </w:rPr>
      </w:pPr>
      <w:r>
        <w:rPr>
          <w:rFonts w:ascii="Tahoma" w:hAnsi="Tahoma" w:cs="Tahoma"/>
          <w:sz w:val="22"/>
          <w:szCs w:val="22"/>
        </w:rPr>
        <w:t xml:space="preserve">El </w:t>
      </w:r>
      <w:r w:rsidR="00AE5060" w:rsidRPr="00AE5060">
        <w:rPr>
          <w:rFonts w:ascii="Tahoma" w:hAnsi="Tahoma" w:cs="Tahoma"/>
          <w:sz w:val="22"/>
          <w:szCs w:val="22"/>
        </w:rPr>
        <w:t>Decreto con fuerza de ley N</w:t>
      </w:r>
      <w:r>
        <w:rPr>
          <w:rFonts w:ascii="Tahoma" w:hAnsi="Tahoma" w:cs="Tahoma"/>
          <w:sz w:val="22"/>
          <w:szCs w:val="22"/>
          <w:vertAlign w:val="superscript"/>
        </w:rPr>
        <w:t>°</w:t>
      </w:r>
      <w:r w:rsidR="00AE5060" w:rsidRPr="00AE5060">
        <w:rPr>
          <w:rFonts w:ascii="Tahoma" w:hAnsi="Tahoma" w:cs="Tahoma"/>
          <w:sz w:val="22"/>
          <w:szCs w:val="22"/>
        </w:rPr>
        <w:t xml:space="preserve"> 30</w:t>
      </w:r>
      <w:r>
        <w:rPr>
          <w:rFonts w:ascii="Tahoma" w:hAnsi="Tahoma" w:cs="Tahoma"/>
          <w:sz w:val="22"/>
          <w:szCs w:val="22"/>
        </w:rPr>
        <w:t>, de 2004</w:t>
      </w:r>
      <w:r w:rsidR="00AE5060" w:rsidRPr="00AE5060">
        <w:rPr>
          <w:rFonts w:ascii="Tahoma" w:hAnsi="Tahoma" w:cs="Tahoma"/>
          <w:sz w:val="22"/>
          <w:szCs w:val="22"/>
        </w:rPr>
        <w:t xml:space="preserve">, del Ministerio de Hacienda, que fija </w:t>
      </w:r>
      <w:r>
        <w:rPr>
          <w:rFonts w:ascii="Tahoma" w:hAnsi="Tahoma" w:cs="Tahoma"/>
          <w:sz w:val="22"/>
          <w:szCs w:val="22"/>
        </w:rPr>
        <w:t>el</w:t>
      </w:r>
      <w:r w:rsidR="00AE5060" w:rsidRPr="00AE5060">
        <w:rPr>
          <w:rFonts w:ascii="Tahoma" w:hAnsi="Tahoma" w:cs="Tahoma"/>
          <w:sz w:val="22"/>
          <w:szCs w:val="22"/>
        </w:rPr>
        <w:t xml:space="preserve"> texto refundido, coordinado y sistematizado de la Ordenanza de Aduanas</w:t>
      </w:r>
      <w:r>
        <w:rPr>
          <w:rFonts w:ascii="Tahoma" w:hAnsi="Tahoma" w:cs="Tahoma"/>
          <w:sz w:val="22"/>
          <w:szCs w:val="22"/>
        </w:rPr>
        <w:t>.</w:t>
      </w:r>
    </w:p>
    <w:p w:rsidR="00E41D9A" w:rsidRDefault="00E41D9A" w:rsidP="001D3405">
      <w:pPr>
        <w:ind w:firstLine="3544"/>
        <w:jc w:val="both"/>
        <w:rPr>
          <w:rFonts w:ascii="Tahoma" w:hAnsi="Tahoma" w:cs="Tahoma"/>
          <w:sz w:val="22"/>
          <w:szCs w:val="22"/>
        </w:rPr>
      </w:pPr>
    </w:p>
    <w:p w:rsidR="00AE5060" w:rsidRDefault="00AE5060" w:rsidP="001D3405">
      <w:pPr>
        <w:ind w:firstLine="3544"/>
        <w:jc w:val="both"/>
        <w:rPr>
          <w:rFonts w:ascii="Tahoma" w:hAnsi="Tahoma" w:cs="Tahoma"/>
          <w:sz w:val="22"/>
          <w:szCs w:val="22"/>
        </w:rPr>
      </w:pPr>
      <w:r w:rsidRPr="00AE5060">
        <w:rPr>
          <w:rFonts w:ascii="Tahoma" w:hAnsi="Tahoma" w:cs="Tahoma"/>
          <w:sz w:val="22"/>
          <w:szCs w:val="22"/>
        </w:rPr>
        <w:t xml:space="preserve"> </w:t>
      </w:r>
      <w:r w:rsidR="00E41D9A">
        <w:rPr>
          <w:rFonts w:ascii="Tahoma" w:hAnsi="Tahoma" w:cs="Tahoma"/>
          <w:sz w:val="22"/>
          <w:szCs w:val="22"/>
        </w:rPr>
        <w:t>El Decreto con fuerza de ley N° 31</w:t>
      </w:r>
      <w:r w:rsidR="00E41D9A" w:rsidRPr="00E41D9A">
        <w:rPr>
          <w:rFonts w:ascii="Tahoma" w:hAnsi="Tahoma" w:cs="Tahoma"/>
          <w:sz w:val="22"/>
          <w:szCs w:val="22"/>
        </w:rPr>
        <w:t>, de 2004, del Ministe</w:t>
      </w:r>
      <w:r w:rsidR="00E41D9A">
        <w:rPr>
          <w:rFonts w:ascii="Tahoma" w:hAnsi="Tahoma" w:cs="Tahoma"/>
          <w:sz w:val="22"/>
          <w:szCs w:val="22"/>
        </w:rPr>
        <w:t>rio de Hacienda, que fija el textos refundido, coordinado y sistematizado</w:t>
      </w:r>
      <w:r w:rsidR="00E41D9A" w:rsidRPr="00E41D9A">
        <w:rPr>
          <w:rFonts w:ascii="Tahoma" w:hAnsi="Tahoma" w:cs="Tahoma"/>
          <w:sz w:val="22"/>
          <w:szCs w:val="22"/>
        </w:rPr>
        <w:t xml:space="preserve"> de la </w:t>
      </w:r>
      <w:r w:rsidRPr="00AE5060">
        <w:rPr>
          <w:rFonts w:ascii="Tahoma" w:hAnsi="Tahoma" w:cs="Tahoma"/>
          <w:sz w:val="22"/>
          <w:szCs w:val="22"/>
        </w:rPr>
        <w:t>ley N° 18.525, que establece Normas Sobre Importación de Mercancías al País</w:t>
      </w:r>
      <w:r w:rsidR="00E41D9A">
        <w:rPr>
          <w:rFonts w:ascii="Tahoma" w:hAnsi="Tahoma" w:cs="Tahoma"/>
          <w:sz w:val="22"/>
          <w:szCs w:val="22"/>
        </w:rPr>
        <w:t>.</w:t>
      </w:r>
    </w:p>
    <w:p w:rsidR="00C84343" w:rsidRDefault="00C84343" w:rsidP="001D3405">
      <w:pPr>
        <w:jc w:val="both"/>
        <w:rPr>
          <w:rFonts w:ascii="Tahoma" w:hAnsi="Tahoma" w:cs="Tahoma"/>
          <w:sz w:val="22"/>
          <w:szCs w:val="22"/>
        </w:rPr>
      </w:pPr>
    </w:p>
    <w:p w:rsidR="001D3405" w:rsidRDefault="00296BEA" w:rsidP="001D3405">
      <w:pPr>
        <w:ind w:firstLine="3544"/>
        <w:jc w:val="both"/>
        <w:rPr>
          <w:rFonts w:ascii="Tahoma" w:hAnsi="Tahoma" w:cs="Tahoma"/>
          <w:sz w:val="22"/>
          <w:szCs w:val="22"/>
        </w:rPr>
      </w:pPr>
      <w:r>
        <w:rPr>
          <w:rFonts w:ascii="Tahoma" w:hAnsi="Tahoma" w:cs="Tahoma"/>
          <w:sz w:val="22"/>
          <w:szCs w:val="22"/>
        </w:rPr>
        <w:t xml:space="preserve">El Compendio de Normas Aduaneras, </w:t>
      </w:r>
      <w:r w:rsidR="001D3405">
        <w:rPr>
          <w:rFonts w:ascii="Tahoma" w:hAnsi="Tahoma" w:cs="Tahoma"/>
          <w:sz w:val="22"/>
          <w:szCs w:val="22"/>
        </w:rPr>
        <w:t xml:space="preserve">sancionado por </w:t>
      </w:r>
      <w:r w:rsidR="001D3405" w:rsidRPr="000816DC">
        <w:rPr>
          <w:rFonts w:ascii="Tahoma" w:hAnsi="Tahoma" w:cs="Tahoma"/>
          <w:sz w:val="22"/>
          <w:szCs w:val="22"/>
        </w:rPr>
        <w:t>l</w:t>
      </w:r>
      <w:r w:rsidR="001D3405">
        <w:rPr>
          <w:rFonts w:ascii="Tahoma" w:hAnsi="Tahoma" w:cs="Tahoma"/>
          <w:sz w:val="22"/>
          <w:szCs w:val="22"/>
        </w:rPr>
        <w:t>a r</w:t>
      </w:r>
      <w:r w:rsidR="001D3405" w:rsidRPr="000816DC">
        <w:rPr>
          <w:rFonts w:ascii="Tahoma" w:hAnsi="Tahoma" w:cs="Tahoma"/>
          <w:sz w:val="22"/>
          <w:szCs w:val="22"/>
        </w:rPr>
        <w:t>esolución N° 1.300, de 2006, del Director Nacional de Aduanas</w:t>
      </w:r>
      <w:r w:rsidR="001D3405">
        <w:rPr>
          <w:rFonts w:ascii="Tahoma" w:hAnsi="Tahoma" w:cs="Tahoma"/>
          <w:sz w:val="22"/>
          <w:szCs w:val="22"/>
        </w:rPr>
        <w:t>.</w:t>
      </w:r>
    </w:p>
    <w:p w:rsidR="003D0364" w:rsidRDefault="003D0364" w:rsidP="001D3405">
      <w:pPr>
        <w:ind w:firstLine="3544"/>
        <w:jc w:val="both"/>
        <w:rPr>
          <w:rFonts w:ascii="Tahoma" w:hAnsi="Tahoma" w:cs="Tahoma"/>
          <w:sz w:val="22"/>
          <w:szCs w:val="22"/>
        </w:rPr>
      </w:pPr>
    </w:p>
    <w:p w:rsidR="00C46AA4" w:rsidRDefault="00C46AA4" w:rsidP="001D3405">
      <w:pPr>
        <w:ind w:firstLine="3544"/>
        <w:jc w:val="both"/>
        <w:rPr>
          <w:rFonts w:ascii="Tahoma" w:hAnsi="Tahoma" w:cs="Tahoma"/>
          <w:b/>
          <w:sz w:val="22"/>
          <w:szCs w:val="22"/>
        </w:rPr>
      </w:pPr>
    </w:p>
    <w:p w:rsidR="001D3405" w:rsidRDefault="001D3405" w:rsidP="001D3405">
      <w:pPr>
        <w:ind w:firstLine="3544"/>
        <w:jc w:val="both"/>
        <w:rPr>
          <w:rFonts w:ascii="Tahoma" w:hAnsi="Tahoma" w:cs="Tahoma"/>
          <w:b/>
          <w:sz w:val="22"/>
          <w:szCs w:val="22"/>
        </w:rPr>
      </w:pPr>
      <w:r w:rsidRPr="000816DC">
        <w:rPr>
          <w:rFonts w:ascii="Tahoma" w:hAnsi="Tahoma" w:cs="Tahoma"/>
          <w:b/>
          <w:sz w:val="22"/>
          <w:szCs w:val="22"/>
        </w:rPr>
        <w:t>CONSIDERANDO:</w:t>
      </w:r>
    </w:p>
    <w:p w:rsidR="001D3405" w:rsidRDefault="001D3405" w:rsidP="001D3405">
      <w:pPr>
        <w:ind w:firstLine="3544"/>
        <w:jc w:val="both"/>
        <w:rPr>
          <w:rFonts w:ascii="Tahoma" w:hAnsi="Tahoma" w:cs="Tahoma"/>
          <w:sz w:val="22"/>
          <w:szCs w:val="22"/>
        </w:rPr>
      </w:pPr>
    </w:p>
    <w:p w:rsidR="00C46AA4" w:rsidRPr="00FD29CE" w:rsidRDefault="00C46AA4" w:rsidP="001D3405">
      <w:pPr>
        <w:ind w:firstLine="3544"/>
        <w:jc w:val="both"/>
        <w:rPr>
          <w:rFonts w:ascii="Tahoma" w:hAnsi="Tahoma" w:cs="Tahoma"/>
          <w:sz w:val="22"/>
          <w:szCs w:val="22"/>
        </w:rPr>
      </w:pPr>
    </w:p>
    <w:p w:rsidR="00652724" w:rsidRDefault="00652724" w:rsidP="00296BEA">
      <w:pPr>
        <w:ind w:firstLine="3544"/>
        <w:jc w:val="both"/>
        <w:rPr>
          <w:rFonts w:ascii="Tahoma" w:hAnsi="Tahoma" w:cs="Tahoma"/>
          <w:sz w:val="22"/>
          <w:szCs w:val="22"/>
        </w:rPr>
      </w:pPr>
      <w:r>
        <w:rPr>
          <w:rFonts w:ascii="Tahoma" w:hAnsi="Tahoma" w:cs="Tahoma"/>
          <w:sz w:val="22"/>
          <w:szCs w:val="22"/>
        </w:rPr>
        <w:t xml:space="preserve">Que, </w:t>
      </w:r>
      <w:r w:rsidR="00296BEA" w:rsidRPr="00296BEA">
        <w:rPr>
          <w:rFonts w:ascii="Tahoma" w:hAnsi="Tahoma" w:cs="Tahoma"/>
          <w:sz w:val="22"/>
          <w:szCs w:val="22"/>
        </w:rPr>
        <w:t xml:space="preserve">según el artículo 1° del Acuerdo relativo a la Aplicación del Artículo VII del Acuerdo General sobre Aranceles Aduaneros y Comercio, de 1994, el valor en aduana será el valor de transacción, es decir, el precio realmente pagado o por pagar por las mercancías importadas, </w:t>
      </w:r>
      <w:r>
        <w:rPr>
          <w:rFonts w:ascii="Tahoma" w:hAnsi="Tahoma" w:cs="Tahoma"/>
          <w:sz w:val="22"/>
          <w:szCs w:val="22"/>
        </w:rPr>
        <w:t>ajustado si procede, de conformidad con el artículo 8°</w:t>
      </w:r>
      <w:r w:rsidR="00085C9A">
        <w:rPr>
          <w:rFonts w:ascii="Tahoma" w:hAnsi="Tahoma" w:cs="Tahoma"/>
          <w:sz w:val="22"/>
          <w:szCs w:val="22"/>
        </w:rPr>
        <w:t xml:space="preserve"> del mismo Acuerdo</w:t>
      </w:r>
      <w:r>
        <w:rPr>
          <w:rFonts w:ascii="Tahoma" w:hAnsi="Tahoma" w:cs="Tahoma"/>
          <w:sz w:val="22"/>
          <w:szCs w:val="22"/>
        </w:rPr>
        <w:t>.</w:t>
      </w:r>
    </w:p>
    <w:p w:rsidR="00DF0ED9" w:rsidRDefault="00DF0ED9" w:rsidP="00296BEA">
      <w:pPr>
        <w:ind w:firstLine="3544"/>
        <w:jc w:val="both"/>
        <w:rPr>
          <w:rFonts w:ascii="Tahoma" w:hAnsi="Tahoma" w:cs="Tahoma"/>
          <w:sz w:val="22"/>
          <w:szCs w:val="22"/>
        </w:rPr>
      </w:pPr>
    </w:p>
    <w:p w:rsidR="00DF0ED9" w:rsidRDefault="00DF0ED9" w:rsidP="00296BEA">
      <w:pPr>
        <w:ind w:firstLine="3544"/>
        <w:jc w:val="both"/>
        <w:rPr>
          <w:rFonts w:ascii="Tahoma" w:hAnsi="Tahoma" w:cs="Tahoma"/>
          <w:sz w:val="22"/>
          <w:szCs w:val="22"/>
        </w:rPr>
      </w:pPr>
      <w:r>
        <w:rPr>
          <w:rFonts w:ascii="Tahoma" w:hAnsi="Tahoma" w:cs="Tahoma"/>
          <w:sz w:val="22"/>
          <w:szCs w:val="22"/>
        </w:rPr>
        <w:t>Que,</w:t>
      </w:r>
      <w:r w:rsidR="00085C9A">
        <w:rPr>
          <w:rFonts w:ascii="Tahoma" w:hAnsi="Tahoma" w:cs="Tahoma"/>
          <w:sz w:val="22"/>
          <w:szCs w:val="22"/>
        </w:rPr>
        <w:t xml:space="preserve"> </w:t>
      </w:r>
      <w:r>
        <w:rPr>
          <w:rFonts w:ascii="Tahoma" w:hAnsi="Tahoma" w:cs="Tahoma"/>
          <w:sz w:val="22"/>
          <w:szCs w:val="22"/>
        </w:rPr>
        <w:t xml:space="preserve">para </w:t>
      </w:r>
      <w:r w:rsidR="00085C9A">
        <w:rPr>
          <w:rFonts w:ascii="Tahoma" w:hAnsi="Tahoma" w:cs="Tahoma"/>
          <w:sz w:val="22"/>
          <w:szCs w:val="22"/>
        </w:rPr>
        <w:t xml:space="preserve">la correcta </w:t>
      </w:r>
      <w:r>
        <w:rPr>
          <w:rFonts w:ascii="Tahoma" w:hAnsi="Tahoma" w:cs="Tahoma"/>
          <w:sz w:val="22"/>
          <w:szCs w:val="22"/>
        </w:rPr>
        <w:t>determina</w:t>
      </w:r>
      <w:r w:rsidR="00085C9A">
        <w:rPr>
          <w:rFonts w:ascii="Tahoma" w:hAnsi="Tahoma" w:cs="Tahoma"/>
          <w:sz w:val="22"/>
          <w:szCs w:val="22"/>
        </w:rPr>
        <w:t>ción</w:t>
      </w:r>
      <w:r>
        <w:rPr>
          <w:rFonts w:ascii="Tahoma" w:hAnsi="Tahoma" w:cs="Tahoma"/>
          <w:sz w:val="22"/>
          <w:szCs w:val="22"/>
        </w:rPr>
        <w:t xml:space="preserve"> </w:t>
      </w:r>
      <w:r w:rsidR="00085C9A">
        <w:rPr>
          <w:rFonts w:ascii="Tahoma" w:hAnsi="Tahoma" w:cs="Tahoma"/>
          <w:sz w:val="22"/>
          <w:szCs w:val="22"/>
        </w:rPr>
        <w:t>d</w:t>
      </w:r>
      <w:r>
        <w:rPr>
          <w:rFonts w:ascii="Tahoma" w:hAnsi="Tahoma" w:cs="Tahoma"/>
          <w:sz w:val="22"/>
          <w:szCs w:val="22"/>
        </w:rPr>
        <w:t xml:space="preserve">el valor aduanero de las mercancías </w:t>
      </w:r>
      <w:r w:rsidR="00E41D9A">
        <w:rPr>
          <w:rFonts w:ascii="Tahoma" w:hAnsi="Tahoma" w:cs="Tahoma"/>
          <w:sz w:val="22"/>
          <w:szCs w:val="22"/>
        </w:rPr>
        <w:t>resulta</w:t>
      </w:r>
      <w:r>
        <w:rPr>
          <w:rFonts w:ascii="Tahoma" w:hAnsi="Tahoma" w:cs="Tahoma"/>
          <w:sz w:val="22"/>
          <w:szCs w:val="22"/>
        </w:rPr>
        <w:t xml:space="preserve"> necesario </w:t>
      </w:r>
      <w:r w:rsidR="00085C9A">
        <w:rPr>
          <w:rFonts w:ascii="Tahoma" w:hAnsi="Tahoma" w:cs="Tahoma"/>
          <w:sz w:val="22"/>
          <w:szCs w:val="22"/>
        </w:rPr>
        <w:t>conocer</w:t>
      </w:r>
      <w:r>
        <w:rPr>
          <w:rFonts w:ascii="Tahoma" w:hAnsi="Tahoma" w:cs="Tahoma"/>
          <w:sz w:val="22"/>
          <w:szCs w:val="22"/>
        </w:rPr>
        <w:t xml:space="preserve"> ciertos elementos de </w:t>
      </w:r>
      <w:r w:rsidR="00766CD6">
        <w:rPr>
          <w:rFonts w:ascii="Tahoma" w:hAnsi="Tahoma" w:cs="Tahoma"/>
          <w:sz w:val="22"/>
          <w:szCs w:val="22"/>
        </w:rPr>
        <w:t xml:space="preserve">hecho de </w:t>
      </w:r>
      <w:r w:rsidR="00085C9A">
        <w:rPr>
          <w:rFonts w:ascii="Tahoma" w:hAnsi="Tahoma" w:cs="Tahoma"/>
          <w:sz w:val="22"/>
          <w:szCs w:val="22"/>
        </w:rPr>
        <w:t>la transacción</w:t>
      </w:r>
      <w:r>
        <w:rPr>
          <w:rFonts w:ascii="Tahoma" w:hAnsi="Tahoma" w:cs="Tahoma"/>
          <w:sz w:val="22"/>
          <w:szCs w:val="22"/>
        </w:rPr>
        <w:t xml:space="preserve"> comercial</w:t>
      </w:r>
      <w:r w:rsidR="00085C9A">
        <w:rPr>
          <w:rFonts w:ascii="Tahoma" w:hAnsi="Tahoma" w:cs="Tahoma"/>
          <w:sz w:val="22"/>
          <w:szCs w:val="22"/>
        </w:rPr>
        <w:t>,</w:t>
      </w:r>
      <w:r>
        <w:rPr>
          <w:rFonts w:ascii="Tahoma" w:hAnsi="Tahoma" w:cs="Tahoma"/>
          <w:sz w:val="22"/>
          <w:szCs w:val="22"/>
        </w:rPr>
        <w:t xml:space="preserve"> relativos a las mercancías que se transan</w:t>
      </w:r>
      <w:r w:rsidR="00C84343">
        <w:rPr>
          <w:rFonts w:ascii="Tahoma" w:hAnsi="Tahoma" w:cs="Tahoma"/>
          <w:sz w:val="22"/>
          <w:szCs w:val="22"/>
        </w:rPr>
        <w:t>, como son por ejemplo</w:t>
      </w:r>
      <w:r w:rsidR="00085C9A">
        <w:rPr>
          <w:rFonts w:ascii="Tahoma" w:hAnsi="Tahoma" w:cs="Tahoma"/>
          <w:sz w:val="22"/>
          <w:szCs w:val="22"/>
        </w:rPr>
        <w:t xml:space="preserve"> la vinculación entre comprador y vendedor, ajustes por comisiones o cáno</w:t>
      </w:r>
      <w:r w:rsidR="0068730F">
        <w:rPr>
          <w:rFonts w:ascii="Tahoma" w:hAnsi="Tahoma" w:cs="Tahoma"/>
          <w:sz w:val="22"/>
          <w:szCs w:val="22"/>
        </w:rPr>
        <w:t>nes, entre otros, elementos que sólo son verificables en un procedimiento de fiscalización a posteriori.</w:t>
      </w:r>
    </w:p>
    <w:p w:rsidR="0068730F" w:rsidRDefault="0068730F" w:rsidP="00296BEA">
      <w:pPr>
        <w:ind w:firstLine="3544"/>
        <w:jc w:val="both"/>
        <w:rPr>
          <w:rFonts w:ascii="Tahoma" w:hAnsi="Tahoma" w:cs="Tahoma"/>
          <w:sz w:val="22"/>
          <w:szCs w:val="22"/>
        </w:rPr>
      </w:pPr>
    </w:p>
    <w:p w:rsidR="0068730F" w:rsidRDefault="0068730F" w:rsidP="009C779D">
      <w:pPr>
        <w:ind w:firstLine="3544"/>
        <w:jc w:val="both"/>
        <w:rPr>
          <w:rFonts w:ascii="Tahoma" w:hAnsi="Tahoma" w:cs="Tahoma"/>
          <w:sz w:val="22"/>
          <w:szCs w:val="22"/>
        </w:rPr>
      </w:pPr>
      <w:r w:rsidRPr="00F35150">
        <w:rPr>
          <w:rFonts w:ascii="Tahoma" w:hAnsi="Tahoma" w:cs="Tahoma"/>
          <w:sz w:val="22"/>
          <w:szCs w:val="22"/>
        </w:rPr>
        <w:t>Que, analizado el proceso de ingreso, se determinó que es posible prescindir de la inclusión</w:t>
      </w:r>
      <w:r w:rsidR="009C779D">
        <w:rPr>
          <w:rFonts w:ascii="Tahoma" w:hAnsi="Tahoma" w:cs="Tahoma"/>
          <w:sz w:val="22"/>
          <w:szCs w:val="22"/>
        </w:rPr>
        <w:t xml:space="preserve"> de la Declaración Jurada del Valor y sus E</w:t>
      </w:r>
      <w:r w:rsidRPr="00F35150">
        <w:rPr>
          <w:rFonts w:ascii="Tahoma" w:hAnsi="Tahoma" w:cs="Tahoma"/>
          <w:sz w:val="22"/>
          <w:szCs w:val="22"/>
        </w:rPr>
        <w:t>lementos como documento de base para la confección de la Declaración de Ingreso,</w:t>
      </w:r>
      <w:r>
        <w:rPr>
          <w:rFonts w:ascii="Tahoma" w:hAnsi="Tahoma" w:cs="Tahoma"/>
          <w:sz w:val="22"/>
          <w:szCs w:val="22"/>
        </w:rPr>
        <w:t xml:space="preserve"> toda vez que</w:t>
      </w:r>
      <w:r w:rsidR="009C779D">
        <w:rPr>
          <w:rFonts w:ascii="Tahoma" w:hAnsi="Tahoma" w:cs="Tahoma"/>
          <w:sz w:val="22"/>
          <w:szCs w:val="22"/>
        </w:rPr>
        <w:t>,</w:t>
      </w:r>
      <w:r>
        <w:rPr>
          <w:rFonts w:ascii="Tahoma" w:hAnsi="Tahoma" w:cs="Tahoma"/>
          <w:sz w:val="22"/>
          <w:szCs w:val="22"/>
        </w:rPr>
        <w:t xml:space="preserve"> dicho </w:t>
      </w:r>
      <w:r>
        <w:rPr>
          <w:rFonts w:ascii="Tahoma" w:hAnsi="Tahoma" w:cs="Tahoma"/>
          <w:sz w:val="22"/>
          <w:szCs w:val="22"/>
        </w:rPr>
        <w:lastRenderedPageBreak/>
        <w:t xml:space="preserve">documento en </w:t>
      </w:r>
      <w:r w:rsidR="009C779D">
        <w:rPr>
          <w:rFonts w:ascii="Tahoma" w:hAnsi="Tahoma" w:cs="Tahoma"/>
          <w:sz w:val="22"/>
          <w:szCs w:val="22"/>
        </w:rPr>
        <w:t xml:space="preserve">el </w:t>
      </w:r>
      <w:r w:rsidR="009C779D" w:rsidRPr="009C779D">
        <w:rPr>
          <w:rFonts w:ascii="Tahoma" w:hAnsi="Tahoma" w:cs="Tahoma"/>
          <w:sz w:val="22"/>
          <w:szCs w:val="22"/>
        </w:rPr>
        <w:t>proceso de fiscalización en línea</w:t>
      </w:r>
      <w:r w:rsidR="009C779D">
        <w:rPr>
          <w:rFonts w:ascii="Tahoma" w:hAnsi="Tahoma" w:cs="Tahoma"/>
          <w:sz w:val="22"/>
          <w:szCs w:val="22"/>
        </w:rPr>
        <w:t>, no permite concluir o levantar una hipótesis de riesgo sobre la valoración.</w:t>
      </w:r>
    </w:p>
    <w:p w:rsidR="00C46AA4" w:rsidRDefault="00C46AA4" w:rsidP="009C779D">
      <w:pPr>
        <w:ind w:firstLine="3544"/>
        <w:jc w:val="both"/>
        <w:rPr>
          <w:rFonts w:ascii="Tahoma" w:hAnsi="Tahoma" w:cs="Tahoma"/>
          <w:sz w:val="22"/>
          <w:szCs w:val="22"/>
        </w:rPr>
      </w:pPr>
    </w:p>
    <w:p w:rsidR="00C82937" w:rsidRDefault="00DF0ED9" w:rsidP="00296BEA">
      <w:pPr>
        <w:ind w:firstLine="3544"/>
        <w:jc w:val="both"/>
        <w:rPr>
          <w:rFonts w:ascii="Tahoma" w:hAnsi="Tahoma" w:cs="Tahoma"/>
          <w:sz w:val="22"/>
          <w:szCs w:val="22"/>
        </w:rPr>
      </w:pPr>
      <w:r>
        <w:rPr>
          <w:rFonts w:ascii="Tahoma" w:hAnsi="Tahoma" w:cs="Tahoma"/>
          <w:sz w:val="22"/>
          <w:szCs w:val="22"/>
        </w:rPr>
        <w:t xml:space="preserve">Que, </w:t>
      </w:r>
      <w:r w:rsidR="008A0A92">
        <w:rPr>
          <w:rFonts w:ascii="Tahoma" w:hAnsi="Tahoma" w:cs="Tahoma"/>
          <w:sz w:val="22"/>
          <w:szCs w:val="22"/>
        </w:rPr>
        <w:t xml:space="preserve">se hace necesario actualizar </w:t>
      </w:r>
      <w:r w:rsidR="00B65612">
        <w:rPr>
          <w:rFonts w:ascii="Tahoma" w:hAnsi="Tahoma" w:cs="Tahoma"/>
          <w:sz w:val="22"/>
          <w:szCs w:val="22"/>
        </w:rPr>
        <w:t xml:space="preserve">la Declaración Jurada del Valor y sus Elementos, </w:t>
      </w:r>
      <w:r w:rsidR="008A0A92">
        <w:rPr>
          <w:rFonts w:ascii="Tahoma" w:hAnsi="Tahoma" w:cs="Tahoma"/>
          <w:sz w:val="22"/>
          <w:szCs w:val="22"/>
        </w:rPr>
        <w:t>en función de la simplificación de los procesos</w:t>
      </w:r>
      <w:r w:rsidR="009C779D">
        <w:rPr>
          <w:rFonts w:ascii="Tahoma" w:hAnsi="Tahoma" w:cs="Tahoma"/>
          <w:sz w:val="22"/>
          <w:szCs w:val="22"/>
        </w:rPr>
        <w:t>,</w:t>
      </w:r>
      <w:r w:rsidR="00B65612" w:rsidRPr="00B65612">
        <w:rPr>
          <w:rFonts w:ascii="Tahoma" w:hAnsi="Tahoma" w:cs="Tahoma"/>
          <w:sz w:val="22"/>
          <w:szCs w:val="22"/>
        </w:rPr>
        <w:t xml:space="preserve"> </w:t>
      </w:r>
      <w:r w:rsidR="00B65612">
        <w:rPr>
          <w:rFonts w:ascii="Tahoma" w:hAnsi="Tahoma" w:cs="Tahoma"/>
          <w:sz w:val="22"/>
          <w:szCs w:val="22"/>
        </w:rPr>
        <w:t>en beneficio de la facilitación del Comercio Exterior</w:t>
      </w:r>
      <w:r w:rsidR="008A0A92">
        <w:rPr>
          <w:rFonts w:ascii="Tahoma" w:hAnsi="Tahoma" w:cs="Tahoma"/>
          <w:sz w:val="22"/>
          <w:szCs w:val="22"/>
        </w:rPr>
        <w:t xml:space="preserve">, </w:t>
      </w:r>
      <w:r w:rsidR="00B65612">
        <w:rPr>
          <w:rFonts w:ascii="Tahoma" w:hAnsi="Tahoma" w:cs="Tahoma"/>
          <w:sz w:val="22"/>
          <w:szCs w:val="22"/>
        </w:rPr>
        <w:t>aportando información esencial al proceso de fiscalización a posteriori</w:t>
      </w:r>
      <w:r w:rsidR="00861831">
        <w:rPr>
          <w:rFonts w:ascii="Tahoma" w:hAnsi="Tahoma" w:cs="Tahoma"/>
          <w:sz w:val="22"/>
          <w:szCs w:val="22"/>
        </w:rPr>
        <w:t>,</w:t>
      </w:r>
      <w:r w:rsidR="00861831" w:rsidRPr="00861831">
        <w:rPr>
          <w:rFonts w:ascii="Tahoma" w:hAnsi="Tahoma" w:cs="Tahoma"/>
          <w:sz w:val="22"/>
          <w:szCs w:val="22"/>
        </w:rPr>
        <w:t xml:space="preserve"> </w:t>
      </w:r>
      <w:r w:rsidR="00861831">
        <w:rPr>
          <w:rFonts w:ascii="Tahoma" w:hAnsi="Tahoma" w:cs="Tahoma"/>
          <w:sz w:val="22"/>
          <w:szCs w:val="22"/>
        </w:rPr>
        <w:t>principalmente en el control de las</w:t>
      </w:r>
      <w:r w:rsidR="00DB3E95">
        <w:rPr>
          <w:rFonts w:ascii="Tahoma" w:hAnsi="Tahoma" w:cs="Tahoma"/>
          <w:sz w:val="22"/>
          <w:szCs w:val="22"/>
        </w:rPr>
        <w:t xml:space="preserve"> transacciones </w:t>
      </w:r>
      <w:r w:rsidR="00861831">
        <w:rPr>
          <w:rFonts w:ascii="Tahoma" w:hAnsi="Tahoma" w:cs="Tahoma"/>
          <w:sz w:val="22"/>
          <w:szCs w:val="22"/>
        </w:rPr>
        <w:t>de grandes volúmenes comerciales</w:t>
      </w:r>
      <w:r w:rsidR="008A0A92">
        <w:rPr>
          <w:rFonts w:ascii="Tahoma" w:hAnsi="Tahoma" w:cs="Tahoma"/>
          <w:sz w:val="22"/>
          <w:szCs w:val="22"/>
        </w:rPr>
        <w:t xml:space="preserve">. </w:t>
      </w:r>
    </w:p>
    <w:p w:rsidR="008677E2" w:rsidRPr="00F35150" w:rsidRDefault="008677E2" w:rsidP="00296BEA">
      <w:pPr>
        <w:ind w:firstLine="3544"/>
        <w:jc w:val="both"/>
        <w:rPr>
          <w:rFonts w:ascii="Tahoma" w:hAnsi="Tahoma" w:cs="Tahoma"/>
          <w:color w:val="FF0000"/>
          <w:sz w:val="22"/>
          <w:szCs w:val="22"/>
        </w:rPr>
      </w:pPr>
    </w:p>
    <w:p w:rsidR="00DF0ED9" w:rsidRDefault="00DF0ED9" w:rsidP="00296BEA">
      <w:pPr>
        <w:ind w:firstLine="3544"/>
        <w:jc w:val="both"/>
        <w:rPr>
          <w:rFonts w:ascii="Tahoma" w:hAnsi="Tahoma" w:cs="Tahoma"/>
          <w:sz w:val="22"/>
          <w:szCs w:val="22"/>
        </w:rPr>
      </w:pPr>
      <w:r>
        <w:rPr>
          <w:rFonts w:ascii="Tahoma" w:hAnsi="Tahoma" w:cs="Tahoma"/>
          <w:sz w:val="22"/>
          <w:szCs w:val="22"/>
        </w:rPr>
        <w:t xml:space="preserve">Que, </w:t>
      </w:r>
      <w:r w:rsidR="00E73A75">
        <w:rPr>
          <w:rFonts w:ascii="Tahoma" w:hAnsi="Tahoma" w:cs="Tahoma"/>
          <w:sz w:val="22"/>
          <w:szCs w:val="22"/>
        </w:rPr>
        <w:t xml:space="preserve">conforme a lo anterior </w:t>
      </w:r>
      <w:r w:rsidR="00C46AA4">
        <w:rPr>
          <w:rFonts w:ascii="Tahoma" w:hAnsi="Tahoma" w:cs="Tahoma"/>
          <w:sz w:val="22"/>
          <w:szCs w:val="22"/>
        </w:rPr>
        <w:t>se ha estimado</w:t>
      </w:r>
      <w:r w:rsidR="00E73A75">
        <w:rPr>
          <w:rFonts w:ascii="Tahoma" w:hAnsi="Tahoma" w:cs="Tahoma"/>
          <w:sz w:val="22"/>
          <w:szCs w:val="22"/>
        </w:rPr>
        <w:t xml:space="preserve"> </w:t>
      </w:r>
      <w:r w:rsidR="006D0CFB">
        <w:rPr>
          <w:rFonts w:ascii="Tahoma" w:hAnsi="Tahoma" w:cs="Tahoma"/>
          <w:sz w:val="22"/>
          <w:szCs w:val="22"/>
        </w:rPr>
        <w:t xml:space="preserve">necesario modificar las normas del Compendio de Normas Aduaneras que regulan esta materia, </w:t>
      </w:r>
      <w:r w:rsidR="00766CD6">
        <w:rPr>
          <w:rFonts w:ascii="Tahoma" w:hAnsi="Tahoma" w:cs="Tahoma"/>
          <w:sz w:val="22"/>
          <w:szCs w:val="22"/>
        </w:rPr>
        <w:t xml:space="preserve">específicamente el </w:t>
      </w:r>
      <w:r w:rsidR="008A1D4F">
        <w:rPr>
          <w:rFonts w:ascii="Tahoma" w:hAnsi="Tahoma" w:cs="Tahoma"/>
          <w:sz w:val="22"/>
          <w:szCs w:val="22"/>
        </w:rPr>
        <w:t>Capítulo</w:t>
      </w:r>
      <w:r w:rsidR="00766CD6">
        <w:rPr>
          <w:rFonts w:ascii="Tahoma" w:hAnsi="Tahoma" w:cs="Tahoma"/>
          <w:sz w:val="22"/>
          <w:szCs w:val="22"/>
        </w:rPr>
        <w:t xml:space="preserve"> II, III y</w:t>
      </w:r>
      <w:r w:rsidR="006D0CFB">
        <w:rPr>
          <w:rFonts w:ascii="Tahoma" w:hAnsi="Tahoma" w:cs="Tahoma"/>
          <w:sz w:val="22"/>
          <w:szCs w:val="22"/>
        </w:rPr>
        <w:t xml:space="preserve"> el Anexo </w:t>
      </w:r>
      <w:r w:rsidR="006D0CFB">
        <w:rPr>
          <w:rFonts w:ascii="Tahoma" w:hAnsi="Tahoma" w:cs="Tahoma"/>
          <w:sz w:val="22"/>
          <w:szCs w:val="22"/>
          <w:lang w:val="es-CL"/>
        </w:rPr>
        <w:t>12</w:t>
      </w:r>
      <w:r w:rsidR="006D0CFB">
        <w:rPr>
          <w:rFonts w:ascii="Tahoma" w:hAnsi="Tahoma" w:cs="Tahoma"/>
          <w:sz w:val="22"/>
          <w:szCs w:val="22"/>
        </w:rPr>
        <w:t>.</w:t>
      </w:r>
    </w:p>
    <w:p w:rsidR="006D0CFB" w:rsidRDefault="006D0CFB" w:rsidP="00296BEA">
      <w:pPr>
        <w:ind w:firstLine="3544"/>
        <w:jc w:val="both"/>
        <w:rPr>
          <w:rFonts w:ascii="Tahoma" w:hAnsi="Tahoma" w:cs="Tahoma"/>
          <w:sz w:val="22"/>
          <w:szCs w:val="22"/>
        </w:rPr>
      </w:pPr>
    </w:p>
    <w:p w:rsidR="00E95831" w:rsidRDefault="00E95831" w:rsidP="00E95831">
      <w:pPr>
        <w:ind w:firstLine="3544"/>
        <w:jc w:val="both"/>
        <w:rPr>
          <w:rFonts w:ascii="Tahoma" w:hAnsi="Tahoma" w:cs="Tahoma"/>
          <w:sz w:val="22"/>
          <w:szCs w:val="22"/>
        </w:rPr>
      </w:pPr>
    </w:p>
    <w:p w:rsidR="001D3405" w:rsidRPr="000816DC" w:rsidRDefault="001D3405" w:rsidP="001D3405">
      <w:pPr>
        <w:jc w:val="both"/>
        <w:rPr>
          <w:rFonts w:ascii="Tahoma" w:hAnsi="Tahoma" w:cs="Tahoma"/>
          <w:sz w:val="22"/>
          <w:szCs w:val="22"/>
        </w:rPr>
      </w:pPr>
    </w:p>
    <w:p w:rsidR="001D3405" w:rsidRDefault="001D3405" w:rsidP="001D3405">
      <w:pPr>
        <w:ind w:firstLine="3544"/>
        <w:jc w:val="both"/>
        <w:rPr>
          <w:rFonts w:ascii="Tahoma" w:hAnsi="Tahoma" w:cs="Tahoma"/>
          <w:sz w:val="22"/>
          <w:szCs w:val="22"/>
        </w:rPr>
      </w:pPr>
      <w:r w:rsidRPr="000816DC">
        <w:rPr>
          <w:rFonts w:ascii="Tahoma" w:hAnsi="Tahoma" w:cs="Tahoma"/>
          <w:b/>
          <w:sz w:val="22"/>
          <w:szCs w:val="22"/>
        </w:rPr>
        <w:t>TENIENDO PRESENTE:</w:t>
      </w:r>
      <w:r w:rsidRPr="000816DC">
        <w:rPr>
          <w:rFonts w:ascii="Tahoma" w:hAnsi="Tahoma" w:cs="Tahoma"/>
          <w:sz w:val="22"/>
          <w:szCs w:val="22"/>
        </w:rPr>
        <w:t xml:space="preserve"> </w:t>
      </w:r>
    </w:p>
    <w:p w:rsidR="001D3405" w:rsidRDefault="001D3405" w:rsidP="001D3405">
      <w:pPr>
        <w:ind w:firstLine="3544"/>
        <w:jc w:val="both"/>
        <w:rPr>
          <w:rFonts w:ascii="Tahoma" w:hAnsi="Tahoma" w:cs="Tahoma"/>
          <w:sz w:val="22"/>
          <w:szCs w:val="22"/>
        </w:rPr>
      </w:pPr>
    </w:p>
    <w:p w:rsidR="001D3405" w:rsidRPr="000816DC" w:rsidRDefault="001D3405" w:rsidP="001D3405">
      <w:pPr>
        <w:ind w:firstLine="3544"/>
        <w:jc w:val="both"/>
        <w:rPr>
          <w:rFonts w:ascii="Tahoma" w:hAnsi="Tahoma" w:cs="Tahoma"/>
          <w:sz w:val="22"/>
          <w:szCs w:val="22"/>
        </w:rPr>
      </w:pPr>
      <w:r w:rsidRPr="000816DC">
        <w:rPr>
          <w:rFonts w:ascii="Tahoma" w:hAnsi="Tahoma" w:cs="Tahoma"/>
          <w:sz w:val="22"/>
          <w:szCs w:val="22"/>
        </w:rPr>
        <w:t xml:space="preserve">Lo dispuesto en el artículo 4°, N° </w:t>
      </w:r>
      <w:r>
        <w:rPr>
          <w:rFonts w:ascii="Tahoma" w:hAnsi="Tahoma" w:cs="Tahoma"/>
          <w:sz w:val="22"/>
          <w:szCs w:val="22"/>
        </w:rPr>
        <w:t xml:space="preserve">7, </w:t>
      </w:r>
      <w:r w:rsidRPr="000816DC">
        <w:rPr>
          <w:rFonts w:ascii="Tahoma" w:hAnsi="Tahoma" w:cs="Tahoma"/>
          <w:sz w:val="22"/>
          <w:szCs w:val="22"/>
        </w:rPr>
        <w:t>8</w:t>
      </w:r>
      <w:r>
        <w:rPr>
          <w:rFonts w:ascii="Tahoma" w:hAnsi="Tahoma" w:cs="Tahoma"/>
          <w:sz w:val="22"/>
          <w:szCs w:val="22"/>
        </w:rPr>
        <w:t xml:space="preserve"> y 29,</w:t>
      </w:r>
      <w:r w:rsidRPr="000816DC">
        <w:rPr>
          <w:rFonts w:ascii="Tahoma" w:hAnsi="Tahoma" w:cs="Tahoma"/>
          <w:sz w:val="22"/>
          <w:szCs w:val="22"/>
        </w:rPr>
        <w:t xml:space="preserve"> del </w:t>
      </w:r>
      <w:r w:rsidR="001A4097">
        <w:rPr>
          <w:rFonts w:ascii="Tahoma" w:hAnsi="Tahoma" w:cs="Tahoma"/>
          <w:sz w:val="22"/>
          <w:szCs w:val="22"/>
        </w:rPr>
        <w:t>D</w:t>
      </w:r>
      <w:r w:rsidRPr="000816DC">
        <w:rPr>
          <w:rFonts w:ascii="Tahoma" w:hAnsi="Tahoma" w:cs="Tahoma"/>
          <w:sz w:val="22"/>
          <w:szCs w:val="22"/>
        </w:rPr>
        <w:t xml:space="preserve">ecreto </w:t>
      </w:r>
      <w:r>
        <w:rPr>
          <w:rFonts w:ascii="Tahoma" w:hAnsi="Tahoma" w:cs="Tahoma"/>
          <w:sz w:val="22"/>
          <w:szCs w:val="22"/>
        </w:rPr>
        <w:t xml:space="preserve">con fuerza de ley </w:t>
      </w:r>
      <w:r w:rsidRPr="000816DC">
        <w:rPr>
          <w:rFonts w:ascii="Tahoma" w:hAnsi="Tahoma" w:cs="Tahoma"/>
          <w:sz w:val="22"/>
          <w:szCs w:val="22"/>
        </w:rPr>
        <w:t>N° 329, de 1979, del Ministerio de Hacienda, Ley Orgánica del Servicio Nacional de Aduan</w:t>
      </w:r>
      <w:r w:rsidR="003D0364">
        <w:rPr>
          <w:rFonts w:ascii="Tahoma" w:hAnsi="Tahoma" w:cs="Tahoma"/>
          <w:sz w:val="22"/>
          <w:szCs w:val="22"/>
        </w:rPr>
        <w:t>as; y, en la Resolución Nº 7 de 2019</w:t>
      </w:r>
      <w:r w:rsidRPr="000816DC">
        <w:rPr>
          <w:rFonts w:ascii="Tahoma" w:hAnsi="Tahoma" w:cs="Tahoma"/>
          <w:sz w:val="22"/>
          <w:szCs w:val="22"/>
        </w:rPr>
        <w:t xml:space="preserve">, de la Contraloría General de la República, sobre exención del trámite de toma de razón, dicto la siguiente: </w:t>
      </w:r>
    </w:p>
    <w:p w:rsidR="001D3405" w:rsidRDefault="001D3405" w:rsidP="001D3405">
      <w:pPr>
        <w:jc w:val="both"/>
        <w:rPr>
          <w:rFonts w:ascii="Tahoma" w:hAnsi="Tahoma" w:cs="Tahoma"/>
          <w:sz w:val="22"/>
          <w:szCs w:val="22"/>
        </w:rPr>
      </w:pPr>
    </w:p>
    <w:p w:rsidR="001D3405" w:rsidRDefault="001D3405" w:rsidP="001D3405">
      <w:pPr>
        <w:jc w:val="both"/>
        <w:rPr>
          <w:rFonts w:ascii="Tahoma" w:hAnsi="Tahoma" w:cs="Tahoma"/>
          <w:sz w:val="22"/>
          <w:szCs w:val="22"/>
        </w:rPr>
      </w:pPr>
    </w:p>
    <w:p w:rsidR="001D3405" w:rsidRDefault="001D3405" w:rsidP="001D3405">
      <w:pPr>
        <w:ind w:left="2832" w:firstLine="712"/>
        <w:jc w:val="both"/>
        <w:rPr>
          <w:rFonts w:ascii="Tahoma" w:hAnsi="Tahoma" w:cs="Tahoma"/>
          <w:b/>
          <w:sz w:val="22"/>
          <w:szCs w:val="22"/>
        </w:rPr>
      </w:pPr>
      <w:r w:rsidRPr="000816DC">
        <w:rPr>
          <w:rFonts w:ascii="Tahoma" w:hAnsi="Tahoma" w:cs="Tahoma"/>
          <w:b/>
          <w:sz w:val="22"/>
          <w:szCs w:val="22"/>
        </w:rPr>
        <w:t>RESOLUCIÓN:</w:t>
      </w:r>
    </w:p>
    <w:p w:rsidR="001D3405" w:rsidRDefault="001D3405" w:rsidP="001D3405">
      <w:pPr>
        <w:pStyle w:val="Prrafodelista"/>
        <w:ind w:left="0"/>
        <w:jc w:val="both"/>
        <w:rPr>
          <w:rFonts w:ascii="Tahoma" w:hAnsi="Tahoma" w:cs="Tahoma"/>
          <w:b/>
          <w:sz w:val="22"/>
          <w:szCs w:val="22"/>
        </w:rPr>
      </w:pPr>
    </w:p>
    <w:p w:rsidR="001D3405" w:rsidRDefault="00551A0C" w:rsidP="00A03564">
      <w:pPr>
        <w:pStyle w:val="Prrafodelista"/>
        <w:numPr>
          <w:ilvl w:val="0"/>
          <w:numId w:val="7"/>
        </w:numPr>
        <w:ind w:left="0" w:firstLine="0"/>
        <w:jc w:val="both"/>
        <w:rPr>
          <w:rFonts w:ascii="Tahoma" w:hAnsi="Tahoma" w:cs="Tahoma"/>
          <w:sz w:val="22"/>
          <w:szCs w:val="22"/>
        </w:rPr>
      </w:pPr>
      <w:r>
        <w:rPr>
          <w:rFonts w:ascii="Tahoma" w:hAnsi="Tahoma" w:cs="Tahoma"/>
          <w:b/>
          <w:sz w:val="22"/>
          <w:szCs w:val="22"/>
        </w:rPr>
        <w:t>SUSTITÚYESE</w:t>
      </w:r>
      <w:r w:rsidR="001D3405">
        <w:rPr>
          <w:rFonts w:ascii="Tahoma" w:hAnsi="Tahoma" w:cs="Tahoma"/>
          <w:b/>
          <w:sz w:val="22"/>
          <w:szCs w:val="22"/>
        </w:rPr>
        <w:t>,</w:t>
      </w:r>
      <w:r w:rsidR="001D3405" w:rsidRPr="00FC3C05">
        <w:rPr>
          <w:rFonts w:ascii="Tahoma" w:hAnsi="Tahoma" w:cs="Tahoma"/>
          <w:b/>
          <w:sz w:val="22"/>
          <w:szCs w:val="22"/>
        </w:rPr>
        <w:t xml:space="preserve"> </w:t>
      </w:r>
      <w:r>
        <w:rPr>
          <w:rFonts w:ascii="Tahoma" w:hAnsi="Tahoma" w:cs="Tahoma"/>
          <w:sz w:val="22"/>
          <w:szCs w:val="22"/>
        </w:rPr>
        <w:t>el numeral 6</w:t>
      </w:r>
      <w:r w:rsidR="003C16BE">
        <w:rPr>
          <w:rFonts w:ascii="Tahoma" w:hAnsi="Tahoma" w:cs="Tahoma"/>
          <w:sz w:val="22"/>
          <w:szCs w:val="22"/>
        </w:rPr>
        <w:t xml:space="preserve"> </w:t>
      </w:r>
      <w:r>
        <w:rPr>
          <w:rFonts w:ascii="Tahoma" w:hAnsi="Tahoma" w:cs="Tahoma"/>
          <w:sz w:val="22"/>
          <w:szCs w:val="22"/>
        </w:rPr>
        <w:t>“</w:t>
      </w:r>
      <w:r w:rsidRPr="00551A0C">
        <w:rPr>
          <w:rFonts w:ascii="Tahoma" w:hAnsi="Tahoma" w:cs="Tahoma"/>
          <w:sz w:val="22"/>
          <w:szCs w:val="22"/>
          <w:lang w:val="es-CL"/>
        </w:rPr>
        <w:t>De la Declaración Jurada del Valor y sus Elementos</w:t>
      </w:r>
      <w:r>
        <w:rPr>
          <w:rFonts w:ascii="Tahoma" w:hAnsi="Tahoma" w:cs="Tahoma"/>
          <w:sz w:val="22"/>
          <w:szCs w:val="22"/>
          <w:lang w:val="es-CL"/>
        </w:rPr>
        <w:t>”</w:t>
      </w:r>
      <w:r w:rsidRPr="00551A0C">
        <w:rPr>
          <w:rFonts w:ascii="Tahoma" w:hAnsi="Tahoma" w:cs="Tahoma"/>
          <w:sz w:val="22"/>
          <w:szCs w:val="22"/>
        </w:rPr>
        <w:t xml:space="preserve"> </w:t>
      </w:r>
      <w:r w:rsidR="003C16BE">
        <w:rPr>
          <w:rFonts w:ascii="Tahoma" w:hAnsi="Tahoma" w:cs="Tahoma"/>
          <w:sz w:val="22"/>
          <w:szCs w:val="22"/>
        </w:rPr>
        <w:t>d</w:t>
      </w:r>
      <w:r w:rsidR="001D3405" w:rsidRPr="00EB6B9D">
        <w:rPr>
          <w:rFonts w:ascii="Tahoma" w:hAnsi="Tahoma" w:cs="Tahoma"/>
          <w:sz w:val="22"/>
          <w:szCs w:val="22"/>
        </w:rPr>
        <w:t>el Capítulo II</w:t>
      </w:r>
      <w:r w:rsidR="0076464B">
        <w:rPr>
          <w:rFonts w:ascii="Tahoma" w:hAnsi="Tahoma" w:cs="Tahoma"/>
          <w:sz w:val="22"/>
          <w:szCs w:val="22"/>
        </w:rPr>
        <w:t xml:space="preserve"> sobre </w:t>
      </w:r>
      <w:r w:rsidR="001D3405" w:rsidRPr="00EB6B9D">
        <w:rPr>
          <w:rFonts w:ascii="Tahoma" w:hAnsi="Tahoma" w:cs="Tahoma"/>
          <w:sz w:val="22"/>
          <w:szCs w:val="22"/>
        </w:rPr>
        <w:t xml:space="preserve">Valoración de </w:t>
      </w:r>
      <w:r w:rsidR="00151B73">
        <w:rPr>
          <w:rFonts w:ascii="Tahoma" w:hAnsi="Tahoma" w:cs="Tahoma"/>
          <w:sz w:val="22"/>
          <w:szCs w:val="22"/>
        </w:rPr>
        <w:t xml:space="preserve">las </w:t>
      </w:r>
      <w:r w:rsidR="001D3405" w:rsidRPr="00EB6B9D">
        <w:rPr>
          <w:rFonts w:ascii="Tahoma" w:hAnsi="Tahoma" w:cs="Tahoma"/>
          <w:sz w:val="22"/>
          <w:szCs w:val="22"/>
        </w:rPr>
        <w:t xml:space="preserve">Mercancías, del Compendio de Normas Aduaneras, </w:t>
      </w:r>
      <w:r>
        <w:rPr>
          <w:rFonts w:ascii="Tahoma" w:hAnsi="Tahoma" w:cs="Tahoma"/>
          <w:sz w:val="22"/>
          <w:szCs w:val="22"/>
        </w:rPr>
        <w:t xml:space="preserve">por </w:t>
      </w:r>
      <w:r w:rsidR="003C16BE">
        <w:rPr>
          <w:rFonts w:ascii="Tahoma" w:hAnsi="Tahoma" w:cs="Tahoma"/>
          <w:sz w:val="22"/>
          <w:szCs w:val="22"/>
        </w:rPr>
        <w:t xml:space="preserve">el </w:t>
      </w:r>
      <w:r w:rsidR="001D3405" w:rsidRPr="00EB6B9D">
        <w:rPr>
          <w:rFonts w:ascii="Tahoma" w:hAnsi="Tahoma" w:cs="Tahoma"/>
          <w:sz w:val="22"/>
          <w:szCs w:val="22"/>
        </w:rPr>
        <w:t>siguiente:</w:t>
      </w:r>
    </w:p>
    <w:p w:rsidR="00551A0C" w:rsidRDefault="00551A0C" w:rsidP="00551A0C">
      <w:pPr>
        <w:jc w:val="both"/>
        <w:rPr>
          <w:rFonts w:ascii="Tahoma" w:hAnsi="Tahoma" w:cs="Tahoma"/>
          <w:sz w:val="22"/>
          <w:szCs w:val="22"/>
        </w:rPr>
      </w:pPr>
    </w:p>
    <w:p w:rsidR="00551A0C" w:rsidRDefault="00551A0C" w:rsidP="00551A0C">
      <w:pPr>
        <w:jc w:val="both"/>
        <w:rPr>
          <w:rFonts w:ascii="Tahoma" w:hAnsi="Tahoma" w:cs="Tahoma"/>
          <w:sz w:val="22"/>
          <w:szCs w:val="22"/>
        </w:rPr>
      </w:pPr>
      <w:r w:rsidRPr="00551A0C">
        <w:rPr>
          <w:rFonts w:ascii="Tahoma" w:hAnsi="Tahoma" w:cs="Tahoma"/>
          <w:sz w:val="22"/>
          <w:szCs w:val="22"/>
        </w:rPr>
        <w:t>6. De la Declaración Jurada del Valor y sus Elementos</w:t>
      </w:r>
    </w:p>
    <w:p w:rsidR="00551A0C" w:rsidRPr="00551A0C" w:rsidRDefault="00551A0C" w:rsidP="00551A0C">
      <w:pPr>
        <w:jc w:val="both"/>
        <w:rPr>
          <w:rFonts w:ascii="Tahoma" w:hAnsi="Tahoma" w:cs="Tahoma"/>
          <w:sz w:val="22"/>
          <w:szCs w:val="22"/>
        </w:rPr>
      </w:pPr>
    </w:p>
    <w:p w:rsidR="00551A0C" w:rsidRDefault="00551A0C" w:rsidP="00551A0C">
      <w:pPr>
        <w:jc w:val="both"/>
        <w:rPr>
          <w:rFonts w:ascii="Tahoma" w:hAnsi="Tahoma" w:cs="Tahoma"/>
          <w:sz w:val="22"/>
          <w:szCs w:val="22"/>
        </w:rPr>
      </w:pPr>
      <w:r w:rsidRPr="00551A0C">
        <w:rPr>
          <w:rFonts w:ascii="Tahoma" w:hAnsi="Tahoma" w:cs="Tahoma"/>
          <w:sz w:val="22"/>
          <w:szCs w:val="22"/>
        </w:rPr>
        <w:t xml:space="preserve">6.1 La Declaración Jurada del Valor y sus Elementos, corresponde a un documento complementario de la Declaración de Importación, que permite verificar la correcta aplicación del Acuerdo del Valor del GATT de 1994, toda vez que da cuenta de los </w:t>
      </w:r>
      <w:r w:rsidR="00CE603E" w:rsidRPr="00551A0C">
        <w:rPr>
          <w:rFonts w:ascii="Tahoma" w:hAnsi="Tahoma" w:cs="Tahoma"/>
          <w:sz w:val="22"/>
          <w:szCs w:val="22"/>
        </w:rPr>
        <w:t>elementos</w:t>
      </w:r>
      <w:r w:rsidR="00CE603E">
        <w:rPr>
          <w:rFonts w:ascii="Tahoma" w:hAnsi="Tahoma" w:cs="Tahoma"/>
          <w:sz w:val="22"/>
          <w:szCs w:val="22"/>
        </w:rPr>
        <w:t xml:space="preserve"> de hecho </w:t>
      </w:r>
      <w:r w:rsidR="00766CD6">
        <w:rPr>
          <w:rFonts w:ascii="Tahoma" w:hAnsi="Tahoma" w:cs="Tahoma"/>
          <w:sz w:val="22"/>
          <w:szCs w:val="22"/>
        </w:rPr>
        <w:t>de</w:t>
      </w:r>
      <w:r w:rsidRPr="00551A0C">
        <w:rPr>
          <w:rFonts w:ascii="Tahoma" w:hAnsi="Tahoma" w:cs="Tahoma"/>
          <w:sz w:val="22"/>
          <w:szCs w:val="22"/>
        </w:rPr>
        <w:t xml:space="preserve"> la transacción comercial de las mercancías importadas, que tienen</w:t>
      </w:r>
      <w:r w:rsidR="00CE603E">
        <w:rPr>
          <w:rFonts w:ascii="Tahoma" w:hAnsi="Tahoma" w:cs="Tahoma"/>
          <w:sz w:val="22"/>
          <w:szCs w:val="22"/>
        </w:rPr>
        <w:t xml:space="preserve"> o podrían tener</w:t>
      </w:r>
      <w:r w:rsidRPr="00551A0C">
        <w:rPr>
          <w:rFonts w:ascii="Tahoma" w:hAnsi="Tahoma" w:cs="Tahoma"/>
          <w:sz w:val="22"/>
          <w:szCs w:val="22"/>
        </w:rPr>
        <w:t xml:space="preserve"> influencia </w:t>
      </w:r>
      <w:r w:rsidR="003D0364">
        <w:rPr>
          <w:rFonts w:ascii="Tahoma" w:hAnsi="Tahoma" w:cs="Tahoma"/>
          <w:sz w:val="22"/>
          <w:szCs w:val="22"/>
        </w:rPr>
        <w:t>o explicar</w:t>
      </w:r>
      <w:r w:rsidRPr="00551A0C">
        <w:rPr>
          <w:rFonts w:ascii="Tahoma" w:hAnsi="Tahoma" w:cs="Tahoma"/>
          <w:sz w:val="22"/>
          <w:szCs w:val="22"/>
        </w:rPr>
        <w:t xml:space="preserve"> el valor aduanero </w:t>
      </w:r>
      <w:r w:rsidR="003D0364">
        <w:rPr>
          <w:rFonts w:ascii="Tahoma" w:hAnsi="Tahoma" w:cs="Tahoma"/>
          <w:sz w:val="22"/>
          <w:szCs w:val="22"/>
        </w:rPr>
        <w:t>declarado</w:t>
      </w:r>
      <w:r w:rsidRPr="00551A0C">
        <w:rPr>
          <w:rFonts w:ascii="Tahoma" w:hAnsi="Tahoma" w:cs="Tahoma"/>
          <w:sz w:val="22"/>
          <w:szCs w:val="22"/>
        </w:rPr>
        <w:t>.</w:t>
      </w:r>
    </w:p>
    <w:p w:rsidR="00551A0C" w:rsidRPr="00551A0C" w:rsidRDefault="00551A0C" w:rsidP="00551A0C">
      <w:pPr>
        <w:jc w:val="both"/>
        <w:rPr>
          <w:rFonts w:ascii="Tahoma" w:hAnsi="Tahoma" w:cs="Tahoma"/>
          <w:sz w:val="22"/>
          <w:szCs w:val="22"/>
        </w:rPr>
      </w:pPr>
    </w:p>
    <w:p w:rsidR="003D0364" w:rsidRDefault="00551A0C" w:rsidP="00551A0C">
      <w:pPr>
        <w:jc w:val="both"/>
        <w:rPr>
          <w:rFonts w:ascii="Tahoma" w:hAnsi="Tahoma" w:cs="Tahoma"/>
          <w:sz w:val="22"/>
          <w:szCs w:val="22"/>
        </w:rPr>
      </w:pPr>
      <w:r w:rsidRPr="00551A0C">
        <w:rPr>
          <w:rFonts w:ascii="Tahoma" w:hAnsi="Tahoma" w:cs="Tahoma"/>
          <w:sz w:val="22"/>
          <w:szCs w:val="22"/>
        </w:rPr>
        <w:t xml:space="preserve">6.2 Se exigirá su </w:t>
      </w:r>
      <w:r w:rsidR="00CE603E" w:rsidRPr="00551A0C">
        <w:rPr>
          <w:rFonts w:ascii="Tahoma" w:hAnsi="Tahoma" w:cs="Tahoma"/>
          <w:sz w:val="22"/>
          <w:szCs w:val="22"/>
        </w:rPr>
        <w:t>presentación</w:t>
      </w:r>
      <w:r w:rsidR="00CE603E">
        <w:rPr>
          <w:rFonts w:ascii="Tahoma" w:hAnsi="Tahoma" w:cs="Tahoma"/>
          <w:sz w:val="22"/>
          <w:szCs w:val="22"/>
        </w:rPr>
        <w:t xml:space="preserve"> </w:t>
      </w:r>
      <w:r w:rsidRPr="00551A0C">
        <w:rPr>
          <w:rFonts w:ascii="Tahoma" w:hAnsi="Tahoma" w:cs="Tahoma"/>
          <w:sz w:val="22"/>
          <w:szCs w:val="22"/>
        </w:rPr>
        <w:t>en el contexto de un</w:t>
      </w:r>
      <w:r w:rsidR="00FC2E34">
        <w:rPr>
          <w:rFonts w:ascii="Tahoma" w:hAnsi="Tahoma" w:cs="Tahoma"/>
          <w:sz w:val="22"/>
          <w:szCs w:val="22"/>
        </w:rPr>
        <w:t xml:space="preserve"> procedimiento de </w:t>
      </w:r>
      <w:r w:rsidRPr="00551A0C">
        <w:rPr>
          <w:rFonts w:ascii="Tahoma" w:hAnsi="Tahoma" w:cs="Tahoma"/>
          <w:sz w:val="22"/>
          <w:szCs w:val="22"/>
        </w:rPr>
        <w:t>fiscalización a posteriori, entendiéndose por tal</w:t>
      </w:r>
      <w:r w:rsidR="003D0364">
        <w:rPr>
          <w:rFonts w:ascii="Tahoma" w:hAnsi="Tahoma" w:cs="Tahoma"/>
          <w:sz w:val="22"/>
          <w:szCs w:val="22"/>
        </w:rPr>
        <w:t>,</w:t>
      </w:r>
      <w:r w:rsidR="00FC2E34">
        <w:rPr>
          <w:rFonts w:ascii="Tahoma" w:hAnsi="Tahoma" w:cs="Tahoma"/>
          <w:sz w:val="22"/>
          <w:szCs w:val="22"/>
        </w:rPr>
        <w:t xml:space="preserve"> cualquier actuación, acto, solicitud, requerimiento, acción o gestión llevada a cabo por la Aduana, en forma posterior al despacho o a una destinación aduanera, tendiente a controlar, </w:t>
      </w:r>
      <w:r w:rsidR="00FC2E34" w:rsidRPr="00FC2E34">
        <w:rPr>
          <w:rFonts w:ascii="Tahoma" w:hAnsi="Tahoma" w:cs="Tahoma"/>
          <w:sz w:val="22"/>
          <w:szCs w:val="22"/>
        </w:rPr>
        <w:t>verificar, revisar, comprobar, cerciorarse o constatar un instrumento, documento, antecedente o acción que diga relación o que incida en un despacho aduaner</w:t>
      </w:r>
      <w:r w:rsidR="00DB3E95">
        <w:rPr>
          <w:rFonts w:ascii="Tahoma" w:hAnsi="Tahoma" w:cs="Tahoma"/>
          <w:sz w:val="22"/>
          <w:szCs w:val="22"/>
        </w:rPr>
        <w:t>o o en una destinación aduanera</w:t>
      </w:r>
      <w:r w:rsidR="00FC2E34" w:rsidRPr="00FC2E34">
        <w:rPr>
          <w:rFonts w:ascii="Tahoma" w:hAnsi="Tahoma" w:cs="Tahoma"/>
          <w:sz w:val="22"/>
          <w:szCs w:val="22"/>
        </w:rPr>
        <w:t>, actividad toda tendiente, en definitiva, a verificar o comprobar el cumplimiento de una instrucción, prescripción o norma aduanera, cualquiera sea su tipo o naturaleza</w:t>
      </w:r>
      <w:r w:rsidR="00FC2E34">
        <w:rPr>
          <w:rFonts w:ascii="Tahoma" w:hAnsi="Tahoma" w:cs="Tahoma"/>
          <w:sz w:val="22"/>
          <w:szCs w:val="22"/>
        </w:rPr>
        <w:t xml:space="preserve">. </w:t>
      </w:r>
    </w:p>
    <w:p w:rsidR="003D0364" w:rsidRDefault="003D0364" w:rsidP="00551A0C">
      <w:pPr>
        <w:jc w:val="both"/>
        <w:rPr>
          <w:rFonts w:ascii="Tahoma" w:hAnsi="Tahoma" w:cs="Tahoma"/>
          <w:sz w:val="22"/>
          <w:szCs w:val="22"/>
        </w:rPr>
      </w:pPr>
    </w:p>
    <w:p w:rsidR="00551A0C" w:rsidRDefault="003D0364" w:rsidP="00551A0C">
      <w:pPr>
        <w:jc w:val="both"/>
        <w:rPr>
          <w:rFonts w:ascii="Tahoma" w:hAnsi="Tahoma" w:cs="Tahoma"/>
          <w:sz w:val="22"/>
          <w:szCs w:val="22"/>
        </w:rPr>
      </w:pPr>
      <w:r>
        <w:rPr>
          <w:rFonts w:ascii="Tahoma" w:hAnsi="Tahoma" w:cs="Tahoma"/>
          <w:sz w:val="22"/>
          <w:szCs w:val="22"/>
        </w:rPr>
        <w:t xml:space="preserve">6.3 </w:t>
      </w:r>
      <w:r w:rsidR="00FC2E34">
        <w:rPr>
          <w:rFonts w:ascii="Tahoma" w:hAnsi="Tahoma" w:cs="Tahoma"/>
          <w:sz w:val="22"/>
          <w:szCs w:val="22"/>
        </w:rPr>
        <w:t xml:space="preserve">La Declaración Jurada del Valor y sus Elementos deberá </w:t>
      </w:r>
      <w:r w:rsidR="00FC2E34" w:rsidRPr="00FC2E34">
        <w:rPr>
          <w:rFonts w:ascii="Tahoma" w:hAnsi="Tahoma" w:cs="Tahoma"/>
          <w:sz w:val="22"/>
          <w:szCs w:val="22"/>
        </w:rPr>
        <w:t xml:space="preserve">ser confeccionada conforme </w:t>
      </w:r>
      <w:r w:rsidR="00DE0E66">
        <w:rPr>
          <w:rFonts w:ascii="Tahoma" w:hAnsi="Tahoma" w:cs="Tahoma"/>
          <w:sz w:val="22"/>
          <w:szCs w:val="22"/>
        </w:rPr>
        <w:t>a las indicacio</w:t>
      </w:r>
      <w:r w:rsidR="00167A22">
        <w:rPr>
          <w:rFonts w:ascii="Tahoma" w:hAnsi="Tahoma" w:cs="Tahoma"/>
          <w:sz w:val="22"/>
          <w:szCs w:val="22"/>
        </w:rPr>
        <w:t>nes de</w:t>
      </w:r>
      <w:r w:rsidR="002E713A">
        <w:rPr>
          <w:rFonts w:ascii="Tahoma" w:hAnsi="Tahoma" w:cs="Tahoma"/>
          <w:sz w:val="22"/>
          <w:szCs w:val="22"/>
        </w:rPr>
        <w:t>l presente</w:t>
      </w:r>
      <w:r w:rsidR="00DE0E66">
        <w:rPr>
          <w:rFonts w:ascii="Tahoma" w:hAnsi="Tahoma" w:cs="Tahoma"/>
          <w:sz w:val="22"/>
          <w:szCs w:val="22"/>
        </w:rPr>
        <w:t xml:space="preserve"> numeral</w:t>
      </w:r>
      <w:r w:rsidR="002E713A">
        <w:rPr>
          <w:rFonts w:ascii="Tahoma" w:hAnsi="Tahoma" w:cs="Tahoma"/>
          <w:sz w:val="22"/>
          <w:szCs w:val="22"/>
        </w:rPr>
        <w:t xml:space="preserve"> 6</w:t>
      </w:r>
      <w:r w:rsidR="00DE0E66">
        <w:rPr>
          <w:rFonts w:ascii="Tahoma" w:hAnsi="Tahoma" w:cs="Tahoma"/>
          <w:sz w:val="22"/>
          <w:szCs w:val="22"/>
        </w:rPr>
        <w:t>,</w:t>
      </w:r>
      <w:r w:rsidR="00167A22">
        <w:rPr>
          <w:rFonts w:ascii="Tahoma" w:hAnsi="Tahoma" w:cs="Tahoma"/>
          <w:sz w:val="22"/>
          <w:szCs w:val="22"/>
        </w:rPr>
        <w:t xml:space="preserve"> y </w:t>
      </w:r>
      <w:r w:rsidR="00FC2E34" w:rsidRPr="00FC2E34">
        <w:rPr>
          <w:rFonts w:ascii="Tahoma" w:hAnsi="Tahoma" w:cs="Tahoma"/>
          <w:sz w:val="22"/>
          <w:szCs w:val="22"/>
        </w:rPr>
        <w:t xml:space="preserve">las instrucciones de </w:t>
      </w:r>
      <w:r w:rsidR="00DE0E66">
        <w:rPr>
          <w:rFonts w:ascii="Tahoma" w:hAnsi="Tahoma" w:cs="Tahoma"/>
          <w:sz w:val="22"/>
          <w:szCs w:val="22"/>
        </w:rPr>
        <w:t>llenado</w:t>
      </w:r>
      <w:r w:rsidR="00167A22">
        <w:rPr>
          <w:rFonts w:ascii="Tahoma" w:hAnsi="Tahoma" w:cs="Tahoma"/>
          <w:sz w:val="22"/>
          <w:szCs w:val="22"/>
        </w:rPr>
        <w:t xml:space="preserve"> del Anexo 12 del </w:t>
      </w:r>
      <w:r w:rsidR="00EB4F65">
        <w:rPr>
          <w:rFonts w:ascii="Tahoma" w:hAnsi="Tahoma" w:cs="Tahoma"/>
          <w:sz w:val="22"/>
          <w:szCs w:val="22"/>
        </w:rPr>
        <w:t>Compendio de Normas Aduaneras</w:t>
      </w:r>
      <w:r w:rsidR="00167A22">
        <w:rPr>
          <w:rFonts w:ascii="Tahoma" w:hAnsi="Tahoma" w:cs="Tahoma"/>
          <w:sz w:val="22"/>
          <w:szCs w:val="22"/>
        </w:rPr>
        <w:t>.</w:t>
      </w:r>
      <w:r w:rsidR="000774D5">
        <w:rPr>
          <w:rFonts w:ascii="Tahoma" w:hAnsi="Tahoma" w:cs="Tahoma"/>
          <w:sz w:val="22"/>
          <w:szCs w:val="22"/>
        </w:rPr>
        <w:t xml:space="preserve"> </w:t>
      </w:r>
      <w:r w:rsidR="00167A22">
        <w:rPr>
          <w:rFonts w:ascii="Tahoma" w:hAnsi="Tahoma" w:cs="Tahoma"/>
          <w:sz w:val="22"/>
          <w:szCs w:val="22"/>
        </w:rPr>
        <w:t xml:space="preserve">Respecto de </w:t>
      </w:r>
      <w:r w:rsidR="00DE0E66">
        <w:rPr>
          <w:rFonts w:ascii="Tahoma" w:hAnsi="Tahoma" w:cs="Tahoma"/>
          <w:sz w:val="22"/>
          <w:szCs w:val="22"/>
        </w:rPr>
        <w:t xml:space="preserve">las contravenciones </w:t>
      </w:r>
      <w:r w:rsidR="00167A22">
        <w:rPr>
          <w:rFonts w:ascii="Tahoma" w:hAnsi="Tahoma" w:cs="Tahoma"/>
          <w:sz w:val="22"/>
          <w:szCs w:val="22"/>
        </w:rPr>
        <w:t>que pudiesen cometerse</w:t>
      </w:r>
      <w:r w:rsidR="00E41D9A">
        <w:rPr>
          <w:rFonts w:ascii="Tahoma" w:hAnsi="Tahoma" w:cs="Tahoma"/>
          <w:sz w:val="22"/>
          <w:szCs w:val="22"/>
        </w:rPr>
        <w:t xml:space="preserve"> </w:t>
      </w:r>
      <w:r w:rsidR="00325B9F">
        <w:rPr>
          <w:rFonts w:ascii="Tahoma" w:hAnsi="Tahoma" w:cs="Tahoma"/>
          <w:sz w:val="22"/>
          <w:szCs w:val="22"/>
        </w:rPr>
        <w:t xml:space="preserve">en </w:t>
      </w:r>
      <w:r w:rsidR="00D7217D">
        <w:rPr>
          <w:rFonts w:ascii="Tahoma" w:hAnsi="Tahoma" w:cs="Tahoma"/>
          <w:sz w:val="22"/>
          <w:szCs w:val="22"/>
        </w:rPr>
        <w:t>relación al</w:t>
      </w:r>
      <w:r w:rsidR="00E41D9A">
        <w:rPr>
          <w:rFonts w:ascii="Tahoma" w:hAnsi="Tahoma" w:cs="Tahoma"/>
          <w:sz w:val="22"/>
          <w:szCs w:val="22"/>
        </w:rPr>
        <w:t xml:space="preserve"> documento ya mencionado</w:t>
      </w:r>
      <w:r w:rsidR="000C7E52">
        <w:rPr>
          <w:rFonts w:ascii="Tahoma" w:hAnsi="Tahoma" w:cs="Tahoma"/>
          <w:sz w:val="22"/>
          <w:szCs w:val="22"/>
        </w:rPr>
        <w:t>, se</w:t>
      </w:r>
      <w:r w:rsidR="000774D5">
        <w:rPr>
          <w:rFonts w:ascii="Tahoma" w:hAnsi="Tahoma" w:cs="Tahoma"/>
          <w:sz w:val="22"/>
          <w:szCs w:val="22"/>
        </w:rPr>
        <w:t xml:space="preserve"> procederá </w:t>
      </w:r>
      <w:r w:rsidR="00DE0E66">
        <w:rPr>
          <w:rFonts w:ascii="Tahoma" w:hAnsi="Tahoma" w:cs="Tahoma"/>
          <w:sz w:val="22"/>
          <w:szCs w:val="22"/>
        </w:rPr>
        <w:t xml:space="preserve">conforme a lo </w:t>
      </w:r>
      <w:r w:rsidR="00551A0C" w:rsidRPr="00551A0C">
        <w:rPr>
          <w:rFonts w:ascii="Tahoma" w:hAnsi="Tahoma" w:cs="Tahoma"/>
          <w:sz w:val="22"/>
          <w:szCs w:val="22"/>
        </w:rPr>
        <w:t xml:space="preserve">dispuesto </w:t>
      </w:r>
      <w:r w:rsidR="000C7E52">
        <w:rPr>
          <w:rFonts w:ascii="Tahoma" w:hAnsi="Tahoma" w:cs="Tahoma"/>
          <w:sz w:val="22"/>
          <w:szCs w:val="22"/>
        </w:rPr>
        <w:t xml:space="preserve">en </w:t>
      </w:r>
      <w:r w:rsidR="00DE0E66">
        <w:rPr>
          <w:rFonts w:ascii="Tahoma" w:hAnsi="Tahoma" w:cs="Tahoma"/>
          <w:sz w:val="22"/>
          <w:szCs w:val="22"/>
        </w:rPr>
        <w:t>la Ordenanza de Aduanas</w:t>
      </w:r>
      <w:r w:rsidR="00167A22">
        <w:rPr>
          <w:rFonts w:ascii="Tahoma" w:hAnsi="Tahoma" w:cs="Tahoma"/>
          <w:sz w:val="22"/>
          <w:szCs w:val="22"/>
        </w:rPr>
        <w:t>.</w:t>
      </w:r>
    </w:p>
    <w:p w:rsidR="00551A0C" w:rsidRPr="00551A0C" w:rsidRDefault="00551A0C" w:rsidP="00551A0C">
      <w:pPr>
        <w:jc w:val="both"/>
        <w:rPr>
          <w:rFonts w:ascii="Tahoma" w:hAnsi="Tahoma" w:cs="Tahoma"/>
          <w:sz w:val="22"/>
          <w:szCs w:val="22"/>
        </w:rPr>
      </w:pPr>
    </w:p>
    <w:p w:rsidR="003E5303" w:rsidRDefault="003E5303" w:rsidP="00551A0C">
      <w:pPr>
        <w:jc w:val="both"/>
        <w:rPr>
          <w:rFonts w:ascii="Tahoma" w:hAnsi="Tahoma" w:cs="Tahoma"/>
          <w:sz w:val="22"/>
          <w:szCs w:val="22"/>
        </w:rPr>
      </w:pPr>
      <w:r>
        <w:rPr>
          <w:rFonts w:ascii="Tahoma" w:hAnsi="Tahoma" w:cs="Tahoma"/>
          <w:sz w:val="22"/>
          <w:szCs w:val="22"/>
        </w:rPr>
        <w:lastRenderedPageBreak/>
        <w:t>6.4 Solo s</w:t>
      </w:r>
      <w:r w:rsidR="00551A0C" w:rsidRPr="00551A0C">
        <w:rPr>
          <w:rFonts w:ascii="Tahoma" w:hAnsi="Tahoma" w:cs="Tahoma"/>
          <w:sz w:val="22"/>
          <w:szCs w:val="22"/>
        </w:rPr>
        <w:t>e</w:t>
      </w:r>
      <w:r>
        <w:rPr>
          <w:rFonts w:ascii="Tahoma" w:hAnsi="Tahoma" w:cs="Tahoma"/>
          <w:sz w:val="22"/>
          <w:szCs w:val="22"/>
        </w:rPr>
        <w:t xml:space="preserve">rá exigible </w:t>
      </w:r>
      <w:r w:rsidR="00551A0C" w:rsidRPr="00551A0C">
        <w:rPr>
          <w:rFonts w:ascii="Tahoma" w:hAnsi="Tahoma" w:cs="Tahoma"/>
          <w:sz w:val="22"/>
          <w:szCs w:val="22"/>
        </w:rPr>
        <w:t xml:space="preserve">la” Declaración Jurada del Valor y de sus Elementos”, </w:t>
      </w:r>
      <w:r>
        <w:rPr>
          <w:rFonts w:ascii="Tahoma" w:hAnsi="Tahoma" w:cs="Tahoma"/>
          <w:sz w:val="22"/>
          <w:szCs w:val="22"/>
        </w:rPr>
        <w:t>en las i</w:t>
      </w:r>
      <w:r w:rsidRPr="003E5303">
        <w:rPr>
          <w:rFonts w:ascii="Tahoma" w:hAnsi="Tahoma" w:cs="Tahoma"/>
          <w:sz w:val="22"/>
          <w:szCs w:val="22"/>
        </w:rPr>
        <w:t xml:space="preserve">mportaciones de mercancías, nuevas o usadas, con carácter comercial, cuyo valor de </w:t>
      </w:r>
      <w:r>
        <w:rPr>
          <w:rFonts w:ascii="Tahoma" w:hAnsi="Tahoma" w:cs="Tahoma"/>
          <w:sz w:val="22"/>
          <w:szCs w:val="22"/>
        </w:rPr>
        <w:t>transacción sea igual o superior</w:t>
      </w:r>
      <w:r w:rsidRPr="003E5303">
        <w:rPr>
          <w:rFonts w:ascii="Tahoma" w:hAnsi="Tahoma" w:cs="Tahoma"/>
          <w:sz w:val="22"/>
          <w:szCs w:val="22"/>
        </w:rPr>
        <w:t xml:space="preserve"> a US$ 50.000 CIF.</w:t>
      </w:r>
    </w:p>
    <w:p w:rsidR="003E5303" w:rsidRDefault="003E5303" w:rsidP="00551A0C">
      <w:pPr>
        <w:jc w:val="both"/>
        <w:rPr>
          <w:rFonts w:ascii="Tahoma" w:hAnsi="Tahoma" w:cs="Tahoma"/>
          <w:sz w:val="22"/>
          <w:szCs w:val="22"/>
        </w:rPr>
      </w:pPr>
    </w:p>
    <w:p w:rsidR="003C16BE" w:rsidRDefault="003C16BE" w:rsidP="004A2C32">
      <w:pPr>
        <w:jc w:val="both"/>
        <w:rPr>
          <w:rFonts w:ascii="Tahoma" w:hAnsi="Tahoma" w:cs="Tahoma"/>
          <w:sz w:val="22"/>
          <w:szCs w:val="22"/>
        </w:rPr>
      </w:pPr>
    </w:p>
    <w:p w:rsidR="00737152" w:rsidRPr="003F228F" w:rsidRDefault="00737152" w:rsidP="00A03564">
      <w:pPr>
        <w:pStyle w:val="Prrafodelista"/>
        <w:numPr>
          <w:ilvl w:val="0"/>
          <w:numId w:val="7"/>
        </w:numPr>
        <w:ind w:left="0" w:firstLine="0"/>
        <w:jc w:val="both"/>
        <w:rPr>
          <w:rFonts w:ascii="Tahoma" w:hAnsi="Tahoma" w:cs="Tahoma"/>
          <w:b/>
          <w:sz w:val="22"/>
          <w:szCs w:val="22"/>
        </w:rPr>
      </w:pPr>
      <w:r w:rsidRPr="003F228F">
        <w:rPr>
          <w:rFonts w:ascii="Tahoma" w:hAnsi="Tahoma" w:cs="Tahoma"/>
          <w:b/>
          <w:sz w:val="22"/>
          <w:szCs w:val="22"/>
        </w:rPr>
        <w:t xml:space="preserve">MODIFÍCASE, </w:t>
      </w:r>
      <w:r w:rsidRPr="00A03564">
        <w:rPr>
          <w:rFonts w:ascii="Tahoma" w:hAnsi="Tahoma" w:cs="Tahoma"/>
          <w:sz w:val="22"/>
          <w:szCs w:val="22"/>
        </w:rPr>
        <w:t>el numeral 10 sobre “Documentos que sirven de base para la confección de la Declaración de Ingreso”, del Capítulo III “Ingreso de Mercancías”, del Compendio de Normas Aduaneras, en el siguiente sentido:</w:t>
      </w:r>
    </w:p>
    <w:p w:rsidR="00737152" w:rsidRDefault="00737152" w:rsidP="00737152">
      <w:pPr>
        <w:pStyle w:val="Prrafodelista"/>
        <w:ind w:left="567"/>
        <w:jc w:val="both"/>
        <w:rPr>
          <w:rFonts w:ascii="Tahoma" w:hAnsi="Tahoma" w:cs="Tahoma"/>
          <w:sz w:val="22"/>
          <w:szCs w:val="22"/>
        </w:rPr>
      </w:pPr>
    </w:p>
    <w:p w:rsidR="00737152" w:rsidRDefault="005B326E" w:rsidP="005F3C0D">
      <w:pPr>
        <w:jc w:val="both"/>
        <w:rPr>
          <w:rFonts w:ascii="Tahoma" w:hAnsi="Tahoma" w:cs="Tahoma"/>
          <w:sz w:val="22"/>
          <w:szCs w:val="22"/>
        </w:rPr>
      </w:pPr>
      <w:r>
        <w:rPr>
          <w:rFonts w:ascii="Tahoma" w:hAnsi="Tahoma" w:cs="Tahoma"/>
          <w:sz w:val="22"/>
          <w:szCs w:val="22"/>
        </w:rPr>
        <w:t>ELIMINASE</w:t>
      </w:r>
      <w:r w:rsidR="00737152" w:rsidRPr="00737152">
        <w:rPr>
          <w:rFonts w:ascii="Tahoma" w:hAnsi="Tahoma" w:cs="Tahoma"/>
          <w:sz w:val="22"/>
          <w:szCs w:val="22"/>
        </w:rPr>
        <w:t xml:space="preserve">, </w:t>
      </w:r>
      <w:r w:rsidR="00737152">
        <w:rPr>
          <w:rFonts w:ascii="Tahoma" w:hAnsi="Tahoma" w:cs="Tahoma"/>
          <w:sz w:val="22"/>
          <w:szCs w:val="22"/>
        </w:rPr>
        <w:t xml:space="preserve">la letra h) del </w:t>
      </w:r>
      <w:proofErr w:type="spellStart"/>
      <w:r w:rsidR="00737152">
        <w:rPr>
          <w:rFonts w:ascii="Tahoma" w:hAnsi="Tahoma" w:cs="Tahoma"/>
          <w:sz w:val="22"/>
          <w:szCs w:val="22"/>
        </w:rPr>
        <w:t>subnumeral</w:t>
      </w:r>
      <w:proofErr w:type="spellEnd"/>
      <w:r w:rsidR="00737152">
        <w:rPr>
          <w:rFonts w:ascii="Tahoma" w:hAnsi="Tahoma" w:cs="Tahoma"/>
          <w:sz w:val="22"/>
          <w:szCs w:val="22"/>
        </w:rPr>
        <w:t xml:space="preserve"> 10.1</w:t>
      </w:r>
      <w:r w:rsidR="00737152" w:rsidRPr="00737152">
        <w:rPr>
          <w:rFonts w:ascii="Tahoma" w:hAnsi="Tahoma" w:cs="Tahoma"/>
          <w:sz w:val="22"/>
          <w:szCs w:val="22"/>
        </w:rPr>
        <w:t>, sobre “</w:t>
      </w:r>
      <w:r w:rsidR="00A03564" w:rsidRPr="00A03564">
        <w:rPr>
          <w:rFonts w:ascii="Tahoma" w:hAnsi="Tahoma" w:cs="Tahoma"/>
          <w:sz w:val="22"/>
          <w:szCs w:val="22"/>
        </w:rPr>
        <w:t>Declaración Jurada del Valor y sus Elementos</w:t>
      </w:r>
      <w:r w:rsidR="00737152" w:rsidRPr="00737152">
        <w:rPr>
          <w:rFonts w:ascii="Tahoma" w:hAnsi="Tahoma" w:cs="Tahoma"/>
          <w:sz w:val="22"/>
          <w:szCs w:val="22"/>
        </w:rPr>
        <w:t>”.</w:t>
      </w:r>
    </w:p>
    <w:p w:rsidR="00A03564" w:rsidRPr="005F3C0D" w:rsidRDefault="00A03564" w:rsidP="005F3C0D">
      <w:pPr>
        <w:jc w:val="both"/>
        <w:rPr>
          <w:rFonts w:ascii="Tahoma" w:hAnsi="Tahoma" w:cs="Tahoma"/>
          <w:sz w:val="22"/>
          <w:szCs w:val="22"/>
        </w:rPr>
      </w:pPr>
    </w:p>
    <w:p w:rsidR="00F845B8" w:rsidRPr="00F845B8" w:rsidRDefault="00F845B8" w:rsidP="00F845B8">
      <w:pPr>
        <w:jc w:val="both"/>
        <w:rPr>
          <w:rFonts w:ascii="Tahoma" w:hAnsi="Tahoma" w:cs="Tahoma"/>
          <w:sz w:val="22"/>
          <w:szCs w:val="22"/>
        </w:rPr>
      </w:pPr>
    </w:p>
    <w:p w:rsidR="00A03564" w:rsidRPr="00A03564" w:rsidRDefault="000748D6" w:rsidP="00A03564">
      <w:pPr>
        <w:pStyle w:val="Prrafodelista"/>
        <w:numPr>
          <w:ilvl w:val="0"/>
          <w:numId w:val="7"/>
        </w:numPr>
        <w:ind w:left="0" w:firstLine="0"/>
        <w:jc w:val="both"/>
        <w:rPr>
          <w:rFonts w:ascii="Tahoma" w:hAnsi="Tahoma" w:cs="Tahoma"/>
          <w:sz w:val="22"/>
          <w:szCs w:val="22"/>
        </w:rPr>
      </w:pPr>
      <w:r w:rsidRPr="00A03564">
        <w:rPr>
          <w:rFonts w:ascii="Tahoma" w:hAnsi="Tahoma" w:cs="Tahoma"/>
          <w:b/>
          <w:sz w:val="22"/>
          <w:szCs w:val="22"/>
        </w:rPr>
        <w:t xml:space="preserve">SUSTITÚYESE, </w:t>
      </w:r>
      <w:r w:rsidRPr="00A03564">
        <w:rPr>
          <w:rFonts w:ascii="Tahoma" w:hAnsi="Tahoma" w:cs="Tahoma"/>
          <w:sz w:val="22"/>
          <w:szCs w:val="22"/>
        </w:rPr>
        <w:t xml:space="preserve">el </w:t>
      </w:r>
      <w:r w:rsidR="00A03564">
        <w:rPr>
          <w:rFonts w:ascii="Tahoma" w:hAnsi="Tahoma" w:cs="Tahoma"/>
          <w:sz w:val="22"/>
          <w:szCs w:val="22"/>
        </w:rPr>
        <w:t>Anexo N° 12</w:t>
      </w:r>
      <w:r w:rsidR="00A03564" w:rsidRPr="00A03564">
        <w:rPr>
          <w:rFonts w:ascii="Tahoma" w:hAnsi="Tahoma" w:cs="Tahoma"/>
          <w:sz w:val="22"/>
          <w:szCs w:val="22"/>
        </w:rPr>
        <w:t xml:space="preserve">, instrucciones relativas a </w:t>
      </w:r>
      <w:r w:rsidR="00A03564">
        <w:rPr>
          <w:rFonts w:ascii="Tahoma" w:hAnsi="Tahoma" w:cs="Tahoma"/>
          <w:sz w:val="22"/>
          <w:szCs w:val="22"/>
        </w:rPr>
        <w:t>la</w:t>
      </w:r>
      <w:r w:rsidR="00A03564" w:rsidRPr="00A03564">
        <w:rPr>
          <w:rFonts w:ascii="Tahoma" w:hAnsi="Tahoma" w:cs="Tahoma"/>
          <w:sz w:val="22"/>
          <w:szCs w:val="22"/>
        </w:rPr>
        <w:t xml:space="preserve"> "Declaración Jurada del Valor y sus Elementos", del Compendio de Normas Aduaneras, por el texto que se encuentra contenido en el anexo de la presente resolución, que forma parte integrante de la misma.</w:t>
      </w:r>
    </w:p>
    <w:p w:rsidR="00A03564" w:rsidRDefault="00A03564" w:rsidP="00A03564">
      <w:pPr>
        <w:pStyle w:val="Prrafodelista"/>
        <w:ind w:left="567"/>
        <w:jc w:val="both"/>
        <w:rPr>
          <w:rFonts w:ascii="Tahoma" w:hAnsi="Tahoma" w:cs="Tahoma"/>
          <w:b/>
          <w:sz w:val="22"/>
          <w:szCs w:val="22"/>
        </w:rPr>
      </w:pPr>
    </w:p>
    <w:p w:rsidR="002A55D3" w:rsidRDefault="002A55D3" w:rsidP="00C2501A">
      <w:pPr>
        <w:pStyle w:val="Prrafodelista"/>
        <w:ind w:left="0"/>
        <w:jc w:val="both"/>
        <w:rPr>
          <w:rFonts w:ascii="Tahoma" w:hAnsi="Tahoma" w:cs="Tahoma"/>
          <w:sz w:val="22"/>
          <w:szCs w:val="22"/>
        </w:rPr>
      </w:pPr>
    </w:p>
    <w:p w:rsidR="001D3405" w:rsidRDefault="001D3405" w:rsidP="00A03564">
      <w:pPr>
        <w:pStyle w:val="Prrafodelista"/>
        <w:numPr>
          <w:ilvl w:val="0"/>
          <w:numId w:val="7"/>
        </w:numPr>
        <w:ind w:left="0" w:firstLine="0"/>
        <w:jc w:val="both"/>
        <w:rPr>
          <w:rFonts w:ascii="Tahoma" w:hAnsi="Tahoma" w:cs="Tahoma"/>
          <w:sz w:val="22"/>
          <w:szCs w:val="22"/>
        </w:rPr>
      </w:pPr>
      <w:r w:rsidRPr="00C702DD">
        <w:rPr>
          <w:rFonts w:ascii="Tahoma" w:hAnsi="Tahoma" w:cs="Tahoma"/>
          <w:sz w:val="22"/>
          <w:szCs w:val="22"/>
        </w:rPr>
        <w:t>Como consecuencia de lo indicado en los numerales anteriores, reemplácese las hojas pertinentes en el Compendio de Normas Aduaneras.</w:t>
      </w:r>
      <w:r>
        <w:rPr>
          <w:rFonts w:ascii="Tahoma" w:hAnsi="Tahoma" w:cs="Tahoma"/>
          <w:sz w:val="22"/>
          <w:szCs w:val="22"/>
        </w:rPr>
        <w:t xml:space="preserve"> </w:t>
      </w:r>
    </w:p>
    <w:p w:rsidR="00C635FE" w:rsidRDefault="00C635FE" w:rsidP="00C635FE">
      <w:pPr>
        <w:pStyle w:val="Prrafodelista"/>
        <w:ind w:left="567"/>
        <w:jc w:val="both"/>
        <w:rPr>
          <w:rFonts w:ascii="Tahoma" w:hAnsi="Tahoma" w:cs="Tahoma"/>
          <w:sz w:val="22"/>
          <w:szCs w:val="22"/>
        </w:rPr>
      </w:pPr>
    </w:p>
    <w:p w:rsidR="001D3405" w:rsidRPr="00C702DD" w:rsidRDefault="001D3405" w:rsidP="001D3405">
      <w:pPr>
        <w:jc w:val="both"/>
        <w:rPr>
          <w:rFonts w:ascii="Tahoma" w:hAnsi="Tahoma" w:cs="Tahoma"/>
          <w:sz w:val="22"/>
          <w:szCs w:val="22"/>
        </w:rPr>
      </w:pPr>
    </w:p>
    <w:p w:rsidR="00C2501A" w:rsidRDefault="00C2501A" w:rsidP="00A03564">
      <w:pPr>
        <w:pStyle w:val="Prrafodelista"/>
        <w:numPr>
          <w:ilvl w:val="0"/>
          <w:numId w:val="7"/>
        </w:numPr>
        <w:ind w:left="0" w:firstLine="0"/>
        <w:jc w:val="both"/>
        <w:rPr>
          <w:rFonts w:ascii="Tahoma" w:hAnsi="Tahoma" w:cs="Tahoma"/>
          <w:sz w:val="22"/>
          <w:szCs w:val="22"/>
        </w:rPr>
      </w:pPr>
      <w:r>
        <w:rPr>
          <w:rFonts w:ascii="Tahoma" w:hAnsi="Tahoma" w:cs="Tahoma"/>
          <w:sz w:val="22"/>
          <w:szCs w:val="22"/>
        </w:rPr>
        <w:t>La presente resolución</w:t>
      </w:r>
      <w:r w:rsidRPr="00C702DD">
        <w:rPr>
          <w:rFonts w:ascii="Tahoma" w:hAnsi="Tahoma" w:cs="Tahoma"/>
          <w:sz w:val="22"/>
          <w:szCs w:val="22"/>
        </w:rPr>
        <w:t xml:space="preserve"> </w:t>
      </w:r>
      <w:r>
        <w:rPr>
          <w:rFonts w:ascii="Tahoma" w:hAnsi="Tahoma" w:cs="Tahoma"/>
          <w:sz w:val="22"/>
          <w:szCs w:val="22"/>
        </w:rPr>
        <w:t>entrará en vigencia 30 días después</w:t>
      </w:r>
      <w:r w:rsidRPr="00C702DD">
        <w:rPr>
          <w:rFonts w:ascii="Tahoma" w:hAnsi="Tahoma" w:cs="Tahoma"/>
          <w:sz w:val="22"/>
          <w:szCs w:val="22"/>
        </w:rPr>
        <w:t xml:space="preserve"> de su publicación en extracto en el Diario Oficial.</w:t>
      </w:r>
    </w:p>
    <w:p w:rsidR="001D3405" w:rsidRDefault="001D3405" w:rsidP="001D3405">
      <w:pPr>
        <w:jc w:val="both"/>
        <w:rPr>
          <w:rFonts w:ascii="Tahoma" w:hAnsi="Tahoma" w:cs="Tahoma"/>
          <w:sz w:val="22"/>
          <w:szCs w:val="22"/>
        </w:rPr>
      </w:pPr>
    </w:p>
    <w:p w:rsidR="00522B62" w:rsidRDefault="00522B62" w:rsidP="00E73A75">
      <w:pPr>
        <w:pStyle w:val="Prrafodelista"/>
        <w:numPr>
          <w:ilvl w:val="0"/>
          <w:numId w:val="7"/>
        </w:numPr>
        <w:ind w:left="0" w:firstLine="0"/>
        <w:jc w:val="both"/>
        <w:rPr>
          <w:rFonts w:ascii="Tahoma" w:hAnsi="Tahoma" w:cs="Tahoma"/>
          <w:sz w:val="22"/>
          <w:szCs w:val="22"/>
        </w:rPr>
      </w:pPr>
      <w:r>
        <w:rPr>
          <w:rFonts w:ascii="Tahoma" w:hAnsi="Tahoma" w:cs="Tahoma"/>
          <w:sz w:val="22"/>
          <w:szCs w:val="22"/>
        </w:rPr>
        <w:t>La presente resolución fue objeto del procedimiento de “Publicación Anticipada” entre los días XX.XX.2019 y XX.XX.2019.</w:t>
      </w:r>
    </w:p>
    <w:p w:rsidR="001D3405" w:rsidRDefault="001D3405" w:rsidP="001D3405">
      <w:pPr>
        <w:jc w:val="both"/>
        <w:rPr>
          <w:rFonts w:ascii="Tahoma" w:hAnsi="Tahoma" w:cs="Tahoma"/>
          <w:sz w:val="22"/>
          <w:szCs w:val="22"/>
        </w:rPr>
      </w:pPr>
    </w:p>
    <w:p w:rsidR="001D3405" w:rsidRDefault="001D3405" w:rsidP="001D3405">
      <w:pPr>
        <w:jc w:val="both"/>
        <w:rPr>
          <w:rFonts w:ascii="Tahoma" w:hAnsi="Tahoma" w:cs="Tahoma"/>
          <w:sz w:val="22"/>
          <w:szCs w:val="22"/>
        </w:rPr>
      </w:pPr>
    </w:p>
    <w:p w:rsidR="001D3405" w:rsidRDefault="001D3405" w:rsidP="001D3405">
      <w:pPr>
        <w:jc w:val="both"/>
        <w:rPr>
          <w:rFonts w:ascii="Tahoma" w:hAnsi="Tahoma" w:cs="Tahoma"/>
          <w:b/>
          <w:sz w:val="22"/>
          <w:szCs w:val="22"/>
        </w:rPr>
      </w:pPr>
      <w:r w:rsidRPr="00C36E1D">
        <w:rPr>
          <w:rFonts w:ascii="Tahoma" w:hAnsi="Tahoma" w:cs="Tahoma"/>
          <w:b/>
          <w:sz w:val="22"/>
          <w:szCs w:val="22"/>
        </w:rPr>
        <w:t>ANÓTESE, COMUNÍQUESE Y PUBLÍQUESE EN EXTRACTO EN EL DIARIO OFICIAL E ÍNTEGRAMENTE EN LA PÁGINA WEB DEL SERVICIO.</w:t>
      </w:r>
    </w:p>
    <w:p w:rsidR="001D3405" w:rsidRDefault="001D3405" w:rsidP="001D3405">
      <w:pPr>
        <w:jc w:val="both"/>
        <w:rPr>
          <w:rFonts w:ascii="Tahoma" w:hAnsi="Tahoma" w:cs="Tahoma"/>
          <w:b/>
          <w:sz w:val="22"/>
          <w:szCs w:val="22"/>
        </w:rPr>
      </w:pPr>
    </w:p>
    <w:p w:rsidR="001D3405" w:rsidRDefault="001D3405" w:rsidP="001D3405">
      <w:pPr>
        <w:jc w:val="both"/>
        <w:rPr>
          <w:rFonts w:ascii="Tahoma" w:hAnsi="Tahoma" w:cs="Tahoma"/>
          <w:b/>
          <w:sz w:val="22"/>
          <w:szCs w:val="22"/>
        </w:rPr>
      </w:pPr>
    </w:p>
    <w:p w:rsidR="001D3405" w:rsidRPr="000816DC" w:rsidRDefault="001D3405" w:rsidP="001D3405">
      <w:pPr>
        <w:jc w:val="both"/>
        <w:rPr>
          <w:rFonts w:ascii="Tahoma" w:hAnsi="Tahoma" w:cs="Tahoma"/>
          <w:sz w:val="22"/>
          <w:szCs w:val="22"/>
        </w:rPr>
      </w:pPr>
    </w:p>
    <w:p w:rsidR="002A6B11" w:rsidRDefault="002A6B11" w:rsidP="000816DC">
      <w:pPr>
        <w:rPr>
          <w:rFonts w:ascii="Tahoma" w:hAnsi="Tahoma" w:cs="Tahoma"/>
          <w:sz w:val="22"/>
          <w:szCs w:val="22"/>
        </w:rPr>
      </w:pPr>
    </w:p>
    <w:p w:rsidR="00EC6AED" w:rsidRDefault="00EC6AED" w:rsidP="000816DC">
      <w:pPr>
        <w:rPr>
          <w:rFonts w:ascii="Tahoma" w:hAnsi="Tahoma" w:cs="Tahoma"/>
          <w:sz w:val="22"/>
          <w:szCs w:val="22"/>
        </w:rPr>
      </w:pPr>
    </w:p>
    <w:p w:rsidR="00EC6AED" w:rsidRDefault="00EC6AED" w:rsidP="000816DC">
      <w:pPr>
        <w:rPr>
          <w:rFonts w:ascii="Tahoma" w:hAnsi="Tahoma" w:cs="Tahoma"/>
          <w:sz w:val="22"/>
          <w:szCs w:val="22"/>
        </w:rPr>
      </w:pPr>
    </w:p>
    <w:p w:rsidR="00EC6AED" w:rsidRDefault="00EC6AED" w:rsidP="000816DC">
      <w:pPr>
        <w:rPr>
          <w:rFonts w:ascii="Tahoma" w:hAnsi="Tahoma" w:cs="Tahoma"/>
          <w:sz w:val="22"/>
          <w:szCs w:val="22"/>
        </w:rPr>
      </w:pPr>
    </w:p>
    <w:p w:rsidR="00EC6AED" w:rsidRDefault="00EC6AED" w:rsidP="000816DC">
      <w:pPr>
        <w:rPr>
          <w:rFonts w:ascii="Tahoma" w:hAnsi="Tahoma" w:cs="Tahoma"/>
          <w:sz w:val="22"/>
          <w:szCs w:val="22"/>
        </w:rPr>
      </w:pPr>
    </w:p>
    <w:p w:rsidR="00EC6AED" w:rsidRDefault="00EC6AED" w:rsidP="000816DC">
      <w:pPr>
        <w:rPr>
          <w:rFonts w:ascii="Tahoma" w:hAnsi="Tahoma" w:cs="Tahoma"/>
          <w:sz w:val="22"/>
          <w:szCs w:val="22"/>
        </w:rPr>
      </w:pPr>
    </w:p>
    <w:p w:rsidR="00EC6AED" w:rsidRDefault="00EC6AED"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p w:rsidR="00932BCC" w:rsidRDefault="00932BCC" w:rsidP="000816DC">
      <w:pPr>
        <w:rPr>
          <w:rFonts w:ascii="Tahoma" w:hAnsi="Tahoma" w:cs="Tahoma"/>
          <w:sz w:val="22"/>
          <w:szCs w:val="22"/>
        </w:rPr>
      </w:pPr>
    </w:p>
    <w:sectPr w:rsidR="00932BCC" w:rsidSect="00932BCC">
      <w:headerReference w:type="even" r:id="rId8"/>
      <w:headerReference w:type="default" r:id="rId9"/>
      <w:footerReference w:type="even" r:id="rId10"/>
      <w:footerReference w:type="default" r:id="rId11"/>
      <w:headerReference w:type="first" r:id="rId12"/>
      <w:footerReference w:type="first" r:id="rId13"/>
      <w:pgSz w:w="12240" w:h="18720"/>
      <w:pgMar w:top="1701" w:right="1531" w:bottom="2268" w:left="1814" w:header="27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C8" w:rsidRDefault="00B916C8" w:rsidP="009C340E">
      <w:r>
        <w:separator/>
      </w:r>
    </w:p>
  </w:endnote>
  <w:endnote w:type="continuationSeparator" w:id="0">
    <w:p w:rsidR="00B916C8" w:rsidRDefault="00B916C8"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8" w:rsidRDefault="001176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rsidR="0038036B" w:rsidRPr="003673F5" w:rsidRDefault="0038036B" w:rsidP="0038036B">
                          <w:pPr>
                            <w:rPr>
                              <w:rFonts w:ascii="gobCL" w:hAnsi="gobCL" w:cs="Tahoma"/>
                              <w:b/>
                              <w:color w:val="7F7F7F" w:themeColor="text1" w:themeTint="80"/>
                              <w:sz w:val="15"/>
                              <w:szCs w:val="15"/>
                            </w:rPr>
                          </w:pPr>
                        </w:p>
                        <w:p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rsidR="0038036B" w:rsidRPr="003673F5" w:rsidRDefault="0038036B" w:rsidP="0038036B">
                    <w:pPr>
                      <w:rPr>
                        <w:rFonts w:ascii="gobCL" w:hAnsi="gobCL" w:cs="Tahoma"/>
                        <w:b/>
                        <w:color w:val="7F7F7F" w:themeColor="text1" w:themeTint="80"/>
                        <w:sz w:val="15"/>
                        <w:szCs w:val="15"/>
                      </w:rPr>
                    </w:pPr>
                  </w:p>
                  <w:p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8" w:rsidRDefault="001176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C8" w:rsidRDefault="00B916C8" w:rsidP="009C340E">
      <w:r>
        <w:separator/>
      </w:r>
    </w:p>
  </w:footnote>
  <w:footnote w:type="continuationSeparator" w:id="0">
    <w:p w:rsidR="00B916C8" w:rsidRDefault="00B916C8"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8" w:rsidRDefault="0011765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251" o:spid="_x0000_s4098" type="#_x0000_t136" style="position:absolute;margin-left:0;margin-top:0;width:456.05pt;height:171pt;rotation:315;z-index:-25165209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3" w:rsidRDefault="00117658" w:rsidP="00287A9E">
    <w:pPr>
      <w:pStyle w:val="Encabezado"/>
      <w:spacing w:line="120" w:lineRule="auto"/>
      <w:ind w:left="-99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252" o:spid="_x0000_s4099" type="#_x0000_t136" style="position:absolute;left:0;text-align:left;margin-left:0;margin-top:0;width:456.05pt;height:171pt;rotation:315;z-index:-251650048;mso-position-horizontal:center;mso-position-horizontal-relative:margin;mso-position-vertical:center;mso-position-vertical-relative:margin" o:allowincell="f" fillcolor="silver" stroked="f">
          <v:fill opacity=".5"/>
          <v:textpath style="font-family:&quot;Calibri&quot;;font-size:1pt" string="BORRADOR"/>
        </v:shape>
      </w:pict>
    </w:r>
    <w:r w:rsidR="005C0373">
      <w:br/>
    </w:r>
  </w:p>
  <w:p w:rsidR="008A1F18" w:rsidRDefault="008A1F18" w:rsidP="00C57414">
    <w:pPr>
      <w:pStyle w:val="Encabezado"/>
      <w:spacing w:line="120" w:lineRule="auto"/>
      <w:ind w:left="-3260"/>
    </w:pPr>
  </w:p>
  <w:p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38036B" w:rsidRDefault="0038036B"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0816DC" w:rsidRDefault="000816DC" w:rsidP="0038036B">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Valoración</w:t>
                          </w:r>
                        </w:p>
                        <w:p w:rsidR="000816DC" w:rsidRPr="00DF42E3" w:rsidRDefault="000816DC" w:rsidP="0038036B">
                          <w:pPr>
                            <w:spacing w:line="180" w:lineRule="exact"/>
                            <w:rPr>
                              <w:rFonts w:ascii="Tahoma" w:hAnsi="Tahoma" w:cs="Tahoma"/>
                              <w:color w:val="000000" w:themeColor="text1"/>
                              <w:sz w:val="15"/>
                              <w:lang w:val="es-ES"/>
                            </w:rPr>
                          </w:pPr>
                        </w:p>
                        <w:p w:rsidR="0038036B" w:rsidRPr="00DF42E3" w:rsidRDefault="0038036B" w:rsidP="0038036B">
                          <w:pPr>
                            <w:spacing w:line="180" w:lineRule="exact"/>
                            <w:rPr>
                              <w:rFonts w:ascii="Tahoma" w:hAnsi="Tahoma" w:cs="Tahoma"/>
                              <w:color w:val="000000" w:themeColor="text1"/>
                              <w:sz w:val="15"/>
                              <w:lang w:val="es-ES"/>
                            </w:rPr>
                          </w:pPr>
                        </w:p>
                        <w:p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38036B" w:rsidRDefault="0038036B"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0816DC" w:rsidRDefault="000816DC" w:rsidP="0038036B">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Valoración</w:t>
                    </w:r>
                  </w:p>
                  <w:p w:rsidR="000816DC" w:rsidRPr="00DF42E3" w:rsidRDefault="000816DC" w:rsidP="0038036B">
                    <w:pPr>
                      <w:spacing w:line="180" w:lineRule="exact"/>
                      <w:rPr>
                        <w:rFonts w:ascii="Tahoma" w:hAnsi="Tahoma" w:cs="Tahoma"/>
                        <w:color w:val="000000" w:themeColor="text1"/>
                        <w:sz w:val="15"/>
                        <w:lang w:val="es-ES"/>
                      </w:rPr>
                    </w:pPr>
                  </w:p>
                  <w:p w:rsidR="0038036B" w:rsidRPr="00DF42E3" w:rsidRDefault="0038036B" w:rsidP="0038036B">
                    <w:pPr>
                      <w:spacing w:line="180" w:lineRule="exact"/>
                      <w:rPr>
                        <w:rFonts w:ascii="Tahoma" w:hAnsi="Tahoma" w:cs="Tahoma"/>
                        <w:color w:val="000000" w:themeColor="text1"/>
                        <w:sz w:val="15"/>
                        <w:lang w:val="es-ES"/>
                      </w:rPr>
                    </w:pPr>
                  </w:p>
                  <w:p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8" w:rsidRDefault="0011765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250" o:spid="_x0000_s4097" type="#_x0000_t136" style="position:absolute;margin-left:0;margin-top:0;width:456.05pt;height:171pt;rotation:315;z-index:-251654144;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B51C5"/>
    <w:multiLevelType w:val="hybridMultilevel"/>
    <w:tmpl w:val="4E021064"/>
    <w:lvl w:ilvl="0" w:tplc="6B540B14">
      <w:start w:val="14"/>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E77EC3"/>
    <w:multiLevelType w:val="hybridMultilevel"/>
    <w:tmpl w:val="A9DCEB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EE5819"/>
    <w:multiLevelType w:val="hybridMultilevel"/>
    <w:tmpl w:val="46661D7C"/>
    <w:lvl w:ilvl="0" w:tplc="9500A854">
      <w:start w:val="16"/>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112A91"/>
    <w:multiLevelType w:val="hybridMultilevel"/>
    <w:tmpl w:val="6DE67938"/>
    <w:lvl w:ilvl="0" w:tplc="4A585EAC">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58374F"/>
    <w:multiLevelType w:val="hybridMultilevel"/>
    <w:tmpl w:val="75EA20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E744131"/>
    <w:multiLevelType w:val="hybridMultilevel"/>
    <w:tmpl w:val="D2E666DE"/>
    <w:lvl w:ilvl="0" w:tplc="FFEA46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6AD16C2"/>
    <w:multiLevelType w:val="hybridMultilevel"/>
    <w:tmpl w:val="B406C1A6"/>
    <w:lvl w:ilvl="0" w:tplc="FFEA46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49D"/>
    <w:rsid w:val="00002BE2"/>
    <w:rsid w:val="00003419"/>
    <w:rsid w:val="000038DF"/>
    <w:rsid w:val="00015823"/>
    <w:rsid w:val="0002127E"/>
    <w:rsid w:val="00022CEF"/>
    <w:rsid w:val="00023D21"/>
    <w:rsid w:val="00024277"/>
    <w:rsid w:val="00027375"/>
    <w:rsid w:val="00031E0A"/>
    <w:rsid w:val="00032629"/>
    <w:rsid w:val="000356A3"/>
    <w:rsid w:val="00037917"/>
    <w:rsid w:val="00052F83"/>
    <w:rsid w:val="00053EBE"/>
    <w:rsid w:val="00055353"/>
    <w:rsid w:val="00055A3B"/>
    <w:rsid w:val="0006464D"/>
    <w:rsid w:val="00067548"/>
    <w:rsid w:val="000727D8"/>
    <w:rsid w:val="000748D6"/>
    <w:rsid w:val="0007726C"/>
    <w:rsid w:val="000774D5"/>
    <w:rsid w:val="0008053D"/>
    <w:rsid w:val="000816DC"/>
    <w:rsid w:val="000823B7"/>
    <w:rsid w:val="00085C9A"/>
    <w:rsid w:val="0009035A"/>
    <w:rsid w:val="00090604"/>
    <w:rsid w:val="00092296"/>
    <w:rsid w:val="00096171"/>
    <w:rsid w:val="00096404"/>
    <w:rsid w:val="000978A9"/>
    <w:rsid w:val="000A61F6"/>
    <w:rsid w:val="000B20DF"/>
    <w:rsid w:val="000C049C"/>
    <w:rsid w:val="000C485E"/>
    <w:rsid w:val="000C7E52"/>
    <w:rsid w:val="000C7F62"/>
    <w:rsid w:val="000D1335"/>
    <w:rsid w:val="000D1903"/>
    <w:rsid w:val="000D25F1"/>
    <w:rsid w:val="000D3B4E"/>
    <w:rsid w:val="000D68F9"/>
    <w:rsid w:val="000E0A86"/>
    <w:rsid w:val="000E184D"/>
    <w:rsid w:val="000F35E7"/>
    <w:rsid w:val="000F3C41"/>
    <w:rsid w:val="000F638B"/>
    <w:rsid w:val="000F6E05"/>
    <w:rsid w:val="001035BC"/>
    <w:rsid w:val="00116A70"/>
    <w:rsid w:val="00117658"/>
    <w:rsid w:val="001242CD"/>
    <w:rsid w:val="00124793"/>
    <w:rsid w:val="00130CFA"/>
    <w:rsid w:val="00137F5A"/>
    <w:rsid w:val="00146675"/>
    <w:rsid w:val="00147A18"/>
    <w:rsid w:val="00151B73"/>
    <w:rsid w:val="0015395A"/>
    <w:rsid w:val="0015546C"/>
    <w:rsid w:val="0016178B"/>
    <w:rsid w:val="001620E5"/>
    <w:rsid w:val="001645A8"/>
    <w:rsid w:val="00167A22"/>
    <w:rsid w:val="00186BC5"/>
    <w:rsid w:val="0019094B"/>
    <w:rsid w:val="00193138"/>
    <w:rsid w:val="00193579"/>
    <w:rsid w:val="001A3154"/>
    <w:rsid w:val="001A3881"/>
    <w:rsid w:val="001A4097"/>
    <w:rsid w:val="001B0D65"/>
    <w:rsid w:val="001B354E"/>
    <w:rsid w:val="001C008D"/>
    <w:rsid w:val="001C09C4"/>
    <w:rsid w:val="001C3927"/>
    <w:rsid w:val="001C3A22"/>
    <w:rsid w:val="001C54FC"/>
    <w:rsid w:val="001D3239"/>
    <w:rsid w:val="001D3405"/>
    <w:rsid w:val="001E0E73"/>
    <w:rsid w:val="001F6679"/>
    <w:rsid w:val="00201267"/>
    <w:rsid w:val="00204079"/>
    <w:rsid w:val="0020617E"/>
    <w:rsid w:val="0021713E"/>
    <w:rsid w:val="00220287"/>
    <w:rsid w:val="0022309E"/>
    <w:rsid w:val="00226242"/>
    <w:rsid w:val="00227934"/>
    <w:rsid w:val="00234D34"/>
    <w:rsid w:val="00242666"/>
    <w:rsid w:val="0025095A"/>
    <w:rsid w:val="002608A9"/>
    <w:rsid w:val="00261D0C"/>
    <w:rsid w:val="00263637"/>
    <w:rsid w:val="0027308C"/>
    <w:rsid w:val="002841B0"/>
    <w:rsid w:val="00286AEB"/>
    <w:rsid w:val="00287A9E"/>
    <w:rsid w:val="00290C00"/>
    <w:rsid w:val="00296BEA"/>
    <w:rsid w:val="002A022A"/>
    <w:rsid w:val="002A0325"/>
    <w:rsid w:val="002A1B7D"/>
    <w:rsid w:val="002A3462"/>
    <w:rsid w:val="002A55D3"/>
    <w:rsid w:val="002A6B11"/>
    <w:rsid w:val="002A7A2F"/>
    <w:rsid w:val="002B0172"/>
    <w:rsid w:val="002B4C0E"/>
    <w:rsid w:val="002D11F7"/>
    <w:rsid w:val="002D3545"/>
    <w:rsid w:val="002D3793"/>
    <w:rsid w:val="002D4318"/>
    <w:rsid w:val="002E446C"/>
    <w:rsid w:val="002E5F77"/>
    <w:rsid w:val="002E713A"/>
    <w:rsid w:val="002F3B8B"/>
    <w:rsid w:val="002F4BE8"/>
    <w:rsid w:val="002F7739"/>
    <w:rsid w:val="00305938"/>
    <w:rsid w:val="0031402E"/>
    <w:rsid w:val="00314798"/>
    <w:rsid w:val="003242DF"/>
    <w:rsid w:val="00325B9F"/>
    <w:rsid w:val="00327C0E"/>
    <w:rsid w:val="003441F3"/>
    <w:rsid w:val="003446A3"/>
    <w:rsid w:val="00354CDF"/>
    <w:rsid w:val="00362949"/>
    <w:rsid w:val="00363E0B"/>
    <w:rsid w:val="0036543D"/>
    <w:rsid w:val="003673F5"/>
    <w:rsid w:val="0038036B"/>
    <w:rsid w:val="00381569"/>
    <w:rsid w:val="003839DF"/>
    <w:rsid w:val="003904ED"/>
    <w:rsid w:val="003927A3"/>
    <w:rsid w:val="00394418"/>
    <w:rsid w:val="0039598E"/>
    <w:rsid w:val="003A1DA5"/>
    <w:rsid w:val="003A23B9"/>
    <w:rsid w:val="003A38A6"/>
    <w:rsid w:val="003A3D4E"/>
    <w:rsid w:val="003A5B64"/>
    <w:rsid w:val="003B0F58"/>
    <w:rsid w:val="003B56F1"/>
    <w:rsid w:val="003B5D79"/>
    <w:rsid w:val="003B5E2D"/>
    <w:rsid w:val="003C16BE"/>
    <w:rsid w:val="003C4213"/>
    <w:rsid w:val="003C44E7"/>
    <w:rsid w:val="003C72BF"/>
    <w:rsid w:val="003D0364"/>
    <w:rsid w:val="003D1080"/>
    <w:rsid w:val="003D5FA3"/>
    <w:rsid w:val="003E2C1A"/>
    <w:rsid w:val="003E5303"/>
    <w:rsid w:val="003F228F"/>
    <w:rsid w:val="003F5E1C"/>
    <w:rsid w:val="003F7FBF"/>
    <w:rsid w:val="00401D4D"/>
    <w:rsid w:val="00431ADB"/>
    <w:rsid w:val="00437038"/>
    <w:rsid w:val="004379BB"/>
    <w:rsid w:val="004440D8"/>
    <w:rsid w:val="00450C52"/>
    <w:rsid w:val="0045139F"/>
    <w:rsid w:val="004564CB"/>
    <w:rsid w:val="00462051"/>
    <w:rsid w:val="00465553"/>
    <w:rsid w:val="00470A1F"/>
    <w:rsid w:val="00476DCE"/>
    <w:rsid w:val="00484F3D"/>
    <w:rsid w:val="00485870"/>
    <w:rsid w:val="00487C6B"/>
    <w:rsid w:val="004925CD"/>
    <w:rsid w:val="00494D66"/>
    <w:rsid w:val="00495B22"/>
    <w:rsid w:val="004A0698"/>
    <w:rsid w:val="004A23C7"/>
    <w:rsid w:val="004A2C32"/>
    <w:rsid w:val="004A373E"/>
    <w:rsid w:val="004A378D"/>
    <w:rsid w:val="004A4137"/>
    <w:rsid w:val="004A6BDB"/>
    <w:rsid w:val="004B2B6C"/>
    <w:rsid w:val="004B7295"/>
    <w:rsid w:val="004D15D6"/>
    <w:rsid w:val="004D1CD8"/>
    <w:rsid w:val="004D27A3"/>
    <w:rsid w:val="004D4D5A"/>
    <w:rsid w:val="004E27B9"/>
    <w:rsid w:val="004E34F8"/>
    <w:rsid w:val="004E5153"/>
    <w:rsid w:val="004F4C47"/>
    <w:rsid w:val="00501B1B"/>
    <w:rsid w:val="00502EC5"/>
    <w:rsid w:val="0050526E"/>
    <w:rsid w:val="005120A5"/>
    <w:rsid w:val="0051688E"/>
    <w:rsid w:val="00516A2E"/>
    <w:rsid w:val="00517F4D"/>
    <w:rsid w:val="005219CB"/>
    <w:rsid w:val="00522B62"/>
    <w:rsid w:val="00522BAC"/>
    <w:rsid w:val="005277EC"/>
    <w:rsid w:val="00527BF2"/>
    <w:rsid w:val="005365C6"/>
    <w:rsid w:val="00540297"/>
    <w:rsid w:val="00541C59"/>
    <w:rsid w:val="00542100"/>
    <w:rsid w:val="00542D28"/>
    <w:rsid w:val="0054794C"/>
    <w:rsid w:val="00551A0C"/>
    <w:rsid w:val="00557CA9"/>
    <w:rsid w:val="00560A3E"/>
    <w:rsid w:val="00562FAA"/>
    <w:rsid w:val="00570AA7"/>
    <w:rsid w:val="0057214C"/>
    <w:rsid w:val="00587612"/>
    <w:rsid w:val="005A4707"/>
    <w:rsid w:val="005A54F0"/>
    <w:rsid w:val="005A5A6F"/>
    <w:rsid w:val="005A6EC9"/>
    <w:rsid w:val="005B1BBB"/>
    <w:rsid w:val="005B326E"/>
    <w:rsid w:val="005C0373"/>
    <w:rsid w:val="005C30E7"/>
    <w:rsid w:val="005C633E"/>
    <w:rsid w:val="005D36A5"/>
    <w:rsid w:val="005D641A"/>
    <w:rsid w:val="005E0C1C"/>
    <w:rsid w:val="005E212B"/>
    <w:rsid w:val="005E371D"/>
    <w:rsid w:val="005F3C0D"/>
    <w:rsid w:val="005F3F4F"/>
    <w:rsid w:val="005F4D7C"/>
    <w:rsid w:val="005F588C"/>
    <w:rsid w:val="00603136"/>
    <w:rsid w:val="006130E9"/>
    <w:rsid w:val="00616685"/>
    <w:rsid w:val="00621D12"/>
    <w:rsid w:val="00624020"/>
    <w:rsid w:val="00650BBE"/>
    <w:rsid w:val="00652724"/>
    <w:rsid w:val="006602FF"/>
    <w:rsid w:val="0067218B"/>
    <w:rsid w:val="0067492D"/>
    <w:rsid w:val="00684164"/>
    <w:rsid w:val="0068730F"/>
    <w:rsid w:val="00694096"/>
    <w:rsid w:val="0069589E"/>
    <w:rsid w:val="0069746C"/>
    <w:rsid w:val="006A1E55"/>
    <w:rsid w:val="006A45B2"/>
    <w:rsid w:val="006A544C"/>
    <w:rsid w:val="006A7121"/>
    <w:rsid w:val="006A7C90"/>
    <w:rsid w:val="006B1500"/>
    <w:rsid w:val="006B3EE0"/>
    <w:rsid w:val="006B60C0"/>
    <w:rsid w:val="006B7924"/>
    <w:rsid w:val="006C6D18"/>
    <w:rsid w:val="006D0CFB"/>
    <w:rsid w:val="006D1C3B"/>
    <w:rsid w:val="006D7CDC"/>
    <w:rsid w:val="006E1B00"/>
    <w:rsid w:val="006E2E1D"/>
    <w:rsid w:val="006F0F9D"/>
    <w:rsid w:val="006F679F"/>
    <w:rsid w:val="006F7CCD"/>
    <w:rsid w:val="0070578C"/>
    <w:rsid w:val="007144AC"/>
    <w:rsid w:val="00715B4A"/>
    <w:rsid w:val="00717ED9"/>
    <w:rsid w:val="00724810"/>
    <w:rsid w:val="00725BDD"/>
    <w:rsid w:val="007273F8"/>
    <w:rsid w:val="007306B9"/>
    <w:rsid w:val="00732D32"/>
    <w:rsid w:val="00734042"/>
    <w:rsid w:val="00734637"/>
    <w:rsid w:val="00737152"/>
    <w:rsid w:val="007379B9"/>
    <w:rsid w:val="00745348"/>
    <w:rsid w:val="00754CDE"/>
    <w:rsid w:val="007558E7"/>
    <w:rsid w:val="007564C5"/>
    <w:rsid w:val="007601DF"/>
    <w:rsid w:val="0076464B"/>
    <w:rsid w:val="0076668B"/>
    <w:rsid w:val="00766CD6"/>
    <w:rsid w:val="00772BD3"/>
    <w:rsid w:val="0077485C"/>
    <w:rsid w:val="00786297"/>
    <w:rsid w:val="00786F6B"/>
    <w:rsid w:val="00791528"/>
    <w:rsid w:val="007937C0"/>
    <w:rsid w:val="00793D3D"/>
    <w:rsid w:val="007A1EF9"/>
    <w:rsid w:val="007A332F"/>
    <w:rsid w:val="007A7D3D"/>
    <w:rsid w:val="007B00C8"/>
    <w:rsid w:val="007B01CD"/>
    <w:rsid w:val="007B4C77"/>
    <w:rsid w:val="007B77ED"/>
    <w:rsid w:val="007C020D"/>
    <w:rsid w:val="007C603B"/>
    <w:rsid w:val="007D0D8A"/>
    <w:rsid w:val="007E4977"/>
    <w:rsid w:val="007E5300"/>
    <w:rsid w:val="007E56D9"/>
    <w:rsid w:val="007F0267"/>
    <w:rsid w:val="007F2335"/>
    <w:rsid w:val="007F48B3"/>
    <w:rsid w:val="007F783E"/>
    <w:rsid w:val="008111AB"/>
    <w:rsid w:val="00811E4B"/>
    <w:rsid w:val="00812AB2"/>
    <w:rsid w:val="00814A41"/>
    <w:rsid w:val="0081600B"/>
    <w:rsid w:val="008237E9"/>
    <w:rsid w:val="0082608A"/>
    <w:rsid w:val="008330E8"/>
    <w:rsid w:val="0084227B"/>
    <w:rsid w:val="00851EEE"/>
    <w:rsid w:val="00854131"/>
    <w:rsid w:val="00855086"/>
    <w:rsid w:val="00861831"/>
    <w:rsid w:val="00865790"/>
    <w:rsid w:val="00865C5E"/>
    <w:rsid w:val="008677E2"/>
    <w:rsid w:val="00870080"/>
    <w:rsid w:val="00872065"/>
    <w:rsid w:val="008755E5"/>
    <w:rsid w:val="008779E0"/>
    <w:rsid w:val="00894024"/>
    <w:rsid w:val="00897A7F"/>
    <w:rsid w:val="008A0A92"/>
    <w:rsid w:val="008A1D4F"/>
    <w:rsid w:val="008A1F18"/>
    <w:rsid w:val="008B1164"/>
    <w:rsid w:val="008B3540"/>
    <w:rsid w:val="008B38FF"/>
    <w:rsid w:val="008C04E1"/>
    <w:rsid w:val="008C1615"/>
    <w:rsid w:val="008C2C31"/>
    <w:rsid w:val="008C3277"/>
    <w:rsid w:val="008C4037"/>
    <w:rsid w:val="008C6A67"/>
    <w:rsid w:val="008D10DD"/>
    <w:rsid w:val="008D50AC"/>
    <w:rsid w:val="008D6C30"/>
    <w:rsid w:val="008E2A09"/>
    <w:rsid w:val="008E5C01"/>
    <w:rsid w:val="008F3625"/>
    <w:rsid w:val="008F38F2"/>
    <w:rsid w:val="008F4A54"/>
    <w:rsid w:val="008F5AF2"/>
    <w:rsid w:val="008F789D"/>
    <w:rsid w:val="0090710E"/>
    <w:rsid w:val="009119D0"/>
    <w:rsid w:val="00922D82"/>
    <w:rsid w:val="00923A42"/>
    <w:rsid w:val="00924E67"/>
    <w:rsid w:val="00926CE6"/>
    <w:rsid w:val="00926D64"/>
    <w:rsid w:val="00932BCC"/>
    <w:rsid w:val="0093490E"/>
    <w:rsid w:val="009416E1"/>
    <w:rsid w:val="0094650F"/>
    <w:rsid w:val="00947187"/>
    <w:rsid w:val="0095738B"/>
    <w:rsid w:val="0096217E"/>
    <w:rsid w:val="0096445E"/>
    <w:rsid w:val="0096540A"/>
    <w:rsid w:val="009674C9"/>
    <w:rsid w:val="009706FD"/>
    <w:rsid w:val="00973ACB"/>
    <w:rsid w:val="00975C08"/>
    <w:rsid w:val="00977553"/>
    <w:rsid w:val="00977E84"/>
    <w:rsid w:val="00981170"/>
    <w:rsid w:val="00981866"/>
    <w:rsid w:val="0098297C"/>
    <w:rsid w:val="00982A32"/>
    <w:rsid w:val="00984818"/>
    <w:rsid w:val="009848C3"/>
    <w:rsid w:val="00985D9D"/>
    <w:rsid w:val="009865D7"/>
    <w:rsid w:val="009940E0"/>
    <w:rsid w:val="00994587"/>
    <w:rsid w:val="009952FB"/>
    <w:rsid w:val="009A1EE2"/>
    <w:rsid w:val="009A2593"/>
    <w:rsid w:val="009A4FB3"/>
    <w:rsid w:val="009B77D2"/>
    <w:rsid w:val="009C340E"/>
    <w:rsid w:val="009C779D"/>
    <w:rsid w:val="009D3A4C"/>
    <w:rsid w:val="009D50D3"/>
    <w:rsid w:val="009D50F6"/>
    <w:rsid w:val="009D74E0"/>
    <w:rsid w:val="009E72E1"/>
    <w:rsid w:val="009E7964"/>
    <w:rsid w:val="009F0C41"/>
    <w:rsid w:val="009F64B2"/>
    <w:rsid w:val="00A00278"/>
    <w:rsid w:val="00A03564"/>
    <w:rsid w:val="00A049D7"/>
    <w:rsid w:val="00A07E5C"/>
    <w:rsid w:val="00A2016E"/>
    <w:rsid w:val="00A30785"/>
    <w:rsid w:val="00A4121C"/>
    <w:rsid w:val="00A50FC5"/>
    <w:rsid w:val="00A60C9A"/>
    <w:rsid w:val="00A63CE0"/>
    <w:rsid w:val="00A64117"/>
    <w:rsid w:val="00A66C9C"/>
    <w:rsid w:val="00A70B6D"/>
    <w:rsid w:val="00A76A6A"/>
    <w:rsid w:val="00A76EFE"/>
    <w:rsid w:val="00A83DDE"/>
    <w:rsid w:val="00A95BA4"/>
    <w:rsid w:val="00A96C89"/>
    <w:rsid w:val="00A9713D"/>
    <w:rsid w:val="00AA4B65"/>
    <w:rsid w:val="00AA5CAC"/>
    <w:rsid w:val="00AA65D2"/>
    <w:rsid w:val="00AA7706"/>
    <w:rsid w:val="00AB279E"/>
    <w:rsid w:val="00AC0E4B"/>
    <w:rsid w:val="00AC0F3D"/>
    <w:rsid w:val="00AC1C4A"/>
    <w:rsid w:val="00AC5F15"/>
    <w:rsid w:val="00AD0EC0"/>
    <w:rsid w:val="00AD1B60"/>
    <w:rsid w:val="00AD1E08"/>
    <w:rsid w:val="00AD7968"/>
    <w:rsid w:val="00AE16AC"/>
    <w:rsid w:val="00AE2AA4"/>
    <w:rsid w:val="00AE4D1F"/>
    <w:rsid w:val="00AE5060"/>
    <w:rsid w:val="00AF17EA"/>
    <w:rsid w:val="00AF2C4C"/>
    <w:rsid w:val="00AF3BDA"/>
    <w:rsid w:val="00AF5304"/>
    <w:rsid w:val="00AF5EF2"/>
    <w:rsid w:val="00B13C5D"/>
    <w:rsid w:val="00B2056C"/>
    <w:rsid w:val="00B22458"/>
    <w:rsid w:val="00B22E5E"/>
    <w:rsid w:val="00B249EE"/>
    <w:rsid w:val="00B259E4"/>
    <w:rsid w:val="00B3793F"/>
    <w:rsid w:val="00B4519F"/>
    <w:rsid w:val="00B46B26"/>
    <w:rsid w:val="00B47C49"/>
    <w:rsid w:val="00B537C2"/>
    <w:rsid w:val="00B65612"/>
    <w:rsid w:val="00B764E7"/>
    <w:rsid w:val="00B828F6"/>
    <w:rsid w:val="00B856D5"/>
    <w:rsid w:val="00B87DA6"/>
    <w:rsid w:val="00B916C8"/>
    <w:rsid w:val="00BB5299"/>
    <w:rsid w:val="00BB604F"/>
    <w:rsid w:val="00BB67AF"/>
    <w:rsid w:val="00BB6E26"/>
    <w:rsid w:val="00BB7E3F"/>
    <w:rsid w:val="00BC2D8D"/>
    <w:rsid w:val="00BC4185"/>
    <w:rsid w:val="00BC4353"/>
    <w:rsid w:val="00BC506A"/>
    <w:rsid w:val="00BD7AFF"/>
    <w:rsid w:val="00BE053F"/>
    <w:rsid w:val="00BE0A2D"/>
    <w:rsid w:val="00BE6A22"/>
    <w:rsid w:val="00BF1A78"/>
    <w:rsid w:val="00BF5433"/>
    <w:rsid w:val="00BF5667"/>
    <w:rsid w:val="00BF5F6F"/>
    <w:rsid w:val="00BF5FFD"/>
    <w:rsid w:val="00C0028C"/>
    <w:rsid w:val="00C03FC9"/>
    <w:rsid w:val="00C067BB"/>
    <w:rsid w:val="00C132E5"/>
    <w:rsid w:val="00C15A12"/>
    <w:rsid w:val="00C16253"/>
    <w:rsid w:val="00C16378"/>
    <w:rsid w:val="00C2501A"/>
    <w:rsid w:val="00C27AAE"/>
    <w:rsid w:val="00C30A0B"/>
    <w:rsid w:val="00C351C6"/>
    <w:rsid w:val="00C36E1D"/>
    <w:rsid w:val="00C421F5"/>
    <w:rsid w:val="00C46288"/>
    <w:rsid w:val="00C46AA4"/>
    <w:rsid w:val="00C57414"/>
    <w:rsid w:val="00C635FE"/>
    <w:rsid w:val="00C652EC"/>
    <w:rsid w:val="00C66163"/>
    <w:rsid w:val="00C66A30"/>
    <w:rsid w:val="00C702DD"/>
    <w:rsid w:val="00C72A94"/>
    <w:rsid w:val="00C74ADC"/>
    <w:rsid w:val="00C77BCD"/>
    <w:rsid w:val="00C82937"/>
    <w:rsid w:val="00C831CC"/>
    <w:rsid w:val="00C84343"/>
    <w:rsid w:val="00C84FA5"/>
    <w:rsid w:val="00C91B4F"/>
    <w:rsid w:val="00C94D6F"/>
    <w:rsid w:val="00CB065C"/>
    <w:rsid w:val="00CB64E2"/>
    <w:rsid w:val="00CC04B1"/>
    <w:rsid w:val="00CC62B1"/>
    <w:rsid w:val="00CD551D"/>
    <w:rsid w:val="00CE1E6D"/>
    <w:rsid w:val="00CE2906"/>
    <w:rsid w:val="00CE2BBD"/>
    <w:rsid w:val="00CE3A94"/>
    <w:rsid w:val="00CE603E"/>
    <w:rsid w:val="00CE7A6A"/>
    <w:rsid w:val="00CF4CB2"/>
    <w:rsid w:val="00CF5D84"/>
    <w:rsid w:val="00CF68AF"/>
    <w:rsid w:val="00CF7AC9"/>
    <w:rsid w:val="00D05064"/>
    <w:rsid w:val="00D05541"/>
    <w:rsid w:val="00D0759B"/>
    <w:rsid w:val="00D07751"/>
    <w:rsid w:val="00D1096E"/>
    <w:rsid w:val="00D11D93"/>
    <w:rsid w:val="00D15398"/>
    <w:rsid w:val="00D24A4F"/>
    <w:rsid w:val="00D26506"/>
    <w:rsid w:val="00D26F48"/>
    <w:rsid w:val="00D278F3"/>
    <w:rsid w:val="00D350C9"/>
    <w:rsid w:val="00D365A2"/>
    <w:rsid w:val="00D40B72"/>
    <w:rsid w:val="00D40BB5"/>
    <w:rsid w:val="00D43FE4"/>
    <w:rsid w:val="00D5536A"/>
    <w:rsid w:val="00D5720E"/>
    <w:rsid w:val="00D65406"/>
    <w:rsid w:val="00D7217D"/>
    <w:rsid w:val="00D732B0"/>
    <w:rsid w:val="00D832D6"/>
    <w:rsid w:val="00DB065C"/>
    <w:rsid w:val="00DB1514"/>
    <w:rsid w:val="00DB2C54"/>
    <w:rsid w:val="00DB3E95"/>
    <w:rsid w:val="00DC1673"/>
    <w:rsid w:val="00DC77DD"/>
    <w:rsid w:val="00DC7B01"/>
    <w:rsid w:val="00DD1F3C"/>
    <w:rsid w:val="00DD58BB"/>
    <w:rsid w:val="00DD635A"/>
    <w:rsid w:val="00DE0E66"/>
    <w:rsid w:val="00DF0ED9"/>
    <w:rsid w:val="00DF0FB5"/>
    <w:rsid w:val="00DF42E3"/>
    <w:rsid w:val="00DF72EE"/>
    <w:rsid w:val="00E00620"/>
    <w:rsid w:val="00E02FB7"/>
    <w:rsid w:val="00E038E0"/>
    <w:rsid w:val="00E07B95"/>
    <w:rsid w:val="00E17651"/>
    <w:rsid w:val="00E24C59"/>
    <w:rsid w:val="00E27DFB"/>
    <w:rsid w:val="00E30683"/>
    <w:rsid w:val="00E333DA"/>
    <w:rsid w:val="00E34DC7"/>
    <w:rsid w:val="00E368B7"/>
    <w:rsid w:val="00E374AE"/>
    <w:rsid w:val="00E401FF"/>
    <w:rsid w:val="00E41D9A"/>
    <w:rsid w:val="00E43166"/>
    <w:rsid w:val="00E45C37"/>
    <w:rsid w:val="00E52854"/>
    <w:rsid w:val="00E562C1"/>
    <w:rsid w:val="00E56BAE"/>
    <w:rsid w:val="00E6339B"/>
    <w:rsid w:val="00E637B1"/>
    <w:rsid w:val="00E64063"/>
    <w:rsid w:val="00E70A76"/>
    <w:rsid w:val="00E72176"/>
    <w:rsid w:val="00E73A75"/>
    <w:rsid w:val="00E86454"/>
    <w:rsid w:val="00E87963"/>
    <w:rsid w:val="00E9436E"/>
    <w:rsid w:val="00E95831"/>
    <w:rsid w:val="00EA18D7"/>
    <w:rsid w:val="00EA2271"/>
    <w:rsid w:val="00EA54C0"/>
    <w:rsid w:val="00EA5CF9"/>
    <w:rsid w:val="00EB050E"/>
    <w:rsid w:val="00EB4F65"/>
    <w:rsid w:val="00EB6B9D"/>
    <w:rsid w:val="00EC2297"/>
    <w:rsid w:val="00EC33F5"/>
    <w:rsid w:val="00EC5C63"/>
    <w:rsid w:val="00EC6AED"/>
    <w:rsid w:val="00ED1681"/>
    <w:rsid w:val="00ED1C4F"/>
    <w:rsid w:val="00ED2423"/>
    <w:rsid w:val="00ED3995"/>
    <w:rsid w:val="00ED5D2F"/>
    <w:rsid w:val="00EE0741"/>
    <w:rsid w:val="00EE4E1C"/>
    <w:rsid w:val="00EE4E71"/>
    <w:rsid w:val="00EE78D8"/>
    <w:rsid w:val="00EF0BD3"/>
    <w:rsid w:val="00EF2FCA"/>
    <w:rsid w:val="00EF347F"/>
    <w:rsid w:val="00EF4DEF"/>
    <w:rsid w:val="00EF73EA"/>
    <w:rsid w:val="00F02E47"/>
    <w:rsid w:val="00F0329F"/>
    <w:rsid w:val="00F059D8"/>
    <w:rsid w:val="00F0694C"/>
    <w:rsid w:val="00F1353C"/>
    <w:rsid w:val="00F16DD2"/>
    <w:rsid w:val="00F211C5"/>
    <w:rsid w:val="00F2133A"/>
    <w:rsid w:val="00F32E61"/>
    <w:rsid w:val="00F35150"/>
    <w:rsid w:val="00F36C1A"/>
    <w:rsid w:val="00F41B02"/>
    <w:rsid w:val="00F42B17"/>
    <w:rsid w:val="00F42EA7"/>
    <w:rsid w:val="00F54008"/>
    <w:rsid w:val="00F54DF9"/>
    <w:rsid w:val="00F64F18"/>
    <w:rsid w:val="00F650F6"/>
    <w:rsid w:val="00F658AE"/>
    <w:rsid w:val="00F718DD"/>
    <w:rsid w:val="00F76BD7"/>
    <w:rsid w:val="00F845B8"/>
    <w:rsid w:val="00F9274B"/>
    <w:rsid w:val="00FA0AD2"/>
    <w:rsid w:val="00FA1474"/>
    <w:rsid w:val="00FA1E9A"/>
    <w:rsid w:val="00FA3B07"/>
    <w:rsid w:val="00FA64B4"/>
    <w:rsid w:val="00FB1BD5"/>
    <w:rsid w:val="00FB3CBF"/>
    <w:rsid w:val="00FB63A9"/>
    <w:rsid w:val="00FB7100"/>
    <w:rsid w:val="00FC1203"/>
    <w:rsid w:val="00FC1C3F"/>
    <w:rsid w:val="00FC2E34"/>
    <w:rsid w:val="00FC3C05"/>
    <w:rsid w:val="00FC61F5"/>
    <w:rsid w:val="00FD29CE"/>
    <w:rsid w:val="00FD5B98"/>
    <w:rsid w:val="00FD64D9"/>
    <w:rsid w:val="00FE18DC"/>
    <w:rsid w:val="00FF60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chartTrackingRefBased/>
  <w15:docId w15:val="{C2EF4C6F-881B-4337-9453-42E198B3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0B20DF"/>
    <w:pPr>
      <w:ind w:left="720"/>
      <w:contextualSpacing/>
    </w:pPr>
  </w:style>
  <w:style w:type="paragraph" w:styleId="Textodeglobo">
    <w:name w:val="Balloon Text"/>
    <w:basedOn w:val="Normal"/>
    <w:link w:val="TextodegloboCar"/>
    <w:uiPriority w:val="99"/>
    <w:semiHidden/>
    <w:unhideWhenUsed/>
    <w:rsid w:val="00FD29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9CE"/>
    <w:rPr>
      <w:rFonts w:ascii="Segoe UI" w:hAnsi="Segoe UI" w:cs="Segoe UI"/>
      <w:sz w:val="18"/>
      <w:szCs w:val="18"/>
    </w:rPr>
  </w:style>
  <w:style w:type="character" w:styleId="Refdecomentario">
    <w:name w:val="annotation reference"/>
    <w:basedOn w:val="Fuentedeprrafopredeter"/>
    <w:uiPriority w:val="99"/>
    <w:semiHidden/>
    <w:unhideWhenUsed/>
    <w:rsid w:val="00BC4185"/>
    <w:rPr>
      <w:sz w:val="16"/>
      <w:szCs w:val="16"/>
    </w:rPr>
  </w:style>
  <w:style w:type="paragraph" w:styleId="Textocomentario">
    <w:name w:val="annotation text"/>
    <w:basedOn w:val="Normal"/>
    <w:link w:val="TextocomentarioCar"/>
    <w:uiPriority w:val="99"/>
    <w:semiHidden/>
    <w:unhideWhenUsed/>
    <w:rsid w:val="00BC4185"/>
    <w:rPr>
      <w:sz w:val="20"/>
      <w:szCs w:val="20"/>
    </w:rPr>
  </w:style>
  <w:style w:type="character" w:customStyle="1" w:styleId="TextocomentarioCar">
    <w:name w:val="Texto comentario Car"/>
    <w:basedOn w:val="Fuentedeprrafopredeter"/>
    <w:link w:val="Textocomentario"/>
    <w:uiPriority w:val="99"/>
    <w:semiHidden/>
    <w:rsid w:val="00BC4185"/>
    <w:rPr>
      <w:sz w:val="20"/>
      <w:szCs w:val="20"/>
    </w:rPr>
  </w:style>
  <w:style w:type="paragraph" w:styleId="Asuntodelcomentario">
    <w:name w:val="annotation subject"/>
    <w:basedOn w:val="Textocomentario"/>
    <w:next w:val="Textocomentario"/>
    <w:link w:val="AsuntodelcomentarioCar"/>
    <w:uiPriority w:val="99"/>
    <w:semiHidden/>
    <w:unhideWhenUsed/>
    <w:rsid w:val="00BC4185"/>
    <w:rPr>
      <w:b/>
      <w:bCs/>
    </w:rPr>
  </w:style>
  <w:style w:type="character" w:customStyle="1" w:styleId="AsuntodelcomentarioCar">
    <w:name w:val="Asunto del comentario Car"/>
    <w:basedOn w:val="TextocomentarioCar"/>
    <w:link w:val="Asuntodelcomentario"/>
    <w:uiPriority w:val="99"/>
    <w:semiHidden/>
    <w:rsid w:val="00BC4185"/>
    <w:rPr>
      <w:b/>
      <w:bCs/>
      <w:sz w:val="20"/>
      <w:szCs w:val="20"/>
    </w:rPr>
  </w:style>
  <w:style w:type="paragraph" w:styleId="Revisin">
    <w:name w:val="Revision"/>
    <w:hidden/>
    <w:uiPriority w:val="99"/>
    <w:semiHidden/>
    <w:rsid w:val="00C4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439982697">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210595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D8DA-203C-4AEE-9A83-54612118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975</Words>
  <Characters>5364</Characters>
  <Application>Microsoft Office Word</Application>
  <DocSecurity>0</DocSecurity>
  <Lines>44</Lines>
  <Paragraphs>12</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3</cp:revision>
  <cp:lastPrinted>2019-09-05T13:44:00Z</cp:lastPrinted>
  <dcterms:created xsi:type="dcterms:W3CDTF">2019-09-06T15:13:00Z</dcterms:created>
  <dcterms:modified xsi:type="dcterms:W3CDTF">2019-09-09T12:50:00Z</dcterms:modified>
</cp:coreProperties>
</file>