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B2" w:rsidRPr="00276D24" w:rsidRDefault="00D654B2" w:rsidP="00953379">
      <w:pPr>
        <w:jc w:val="both"/>
        <w:rPr>
          <w:rFonts w:ascii="Arial" w:hAnsi="Arial" w:cs="Arial"/>
          <w:sz w:val="20"/>
        </w:rPr>
      </w:pPr>
    </w:p>
    <w:p w:rsidR="00D6360F" w:rsidRPr="00276D24" w:rsidRDefault="00D654B2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="00D6360F" w:rsidRPr="00276D24">
        <w:rPr>
          <w:rFonts w:ascii="Arial" w:hAnsi="Arial" w:cs="Arial"/>
          <w:b/>
          <w:sz w:val="20"/>
        </w:rPr>
        <w:t>RESOLUCIÓN EXENTA N°</w:t>
      </w:r>
    </w:p>
    <w:p w:rsidR="00D6360F" w:rsidRPr="00276D24" w:rsidRDefault="00D6360F" w:rsidP="00953379">
      <w:pPr>
        <w:jc w:val="both"/>
        <w:rPr>
          <w:rFonts w:ascii="Arial" w:hAnsi="Arial" w:cs="Arial"/>
          <w:sz w:val="20"/>
        </w:rPr>
      </w:pPr>
    </w:p>
    <w:p w:rsidR="00D6360F" w:rsidRPr="00276D24" w:rsidRDefault="00D6360F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  <w:t>Valparaíso</w:t>
      </w:r>
      <w:r w:rsidRPr="00276D24">
        <w:rPr>
          <w:rFonts w:ascii="Arial" w:hAnsi="Arial" w:cs="Arial"/>
          <w:sz w:val="20"/>
        </w:rPr>
        <w:t>,</w:t>
      </w:r>
    </w:p>
    <w:p w:rsidR="00D6360F" w:rsidRPr="00276D24" w:rsidRDefault="00D6360F" w:rsidP="00953379">
      <w:pPr>
        <w:jc w:val="both"/>
        <w:rPr>
          <w:rFonts w:ascii="Arial" w:hAnsi="Arial" w:cs="Arial"/>
          <w:sz w:val="20"/>
        </w:rPr>
      </w:pPr>
    </w:p>
    <w:p w:rsidR="00571834" w:rsidRPr="00276D24" w:rsidRDefault="00571834" w:rsidP="00953379">
      <w:pPr>
        <w:jc w:val="both"/>
        <w:rPr>
          <w:rFonts w:ascii="Arial" w:hAnsi="Arial" w:cs="Arial"/>
          <w:sz w:val="20"/>
        </w:rPr>
      </w:pPr>
    </w:p>
    <w:p w:rsidR="007C7BD9" w:rsidRDefault="00D6360F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b/>
          <w:sz w:val="20"/>
        </w:rPr>
        <w:t>VISTOS</w:t>
      </w:r>
      <w:r w:rsidRPr="00276D24">
        <w:rPr>
          <w:rFonts w:ascii="Arial" w:hAnsi="Arial" w:cs="Arial"/>
          <w:sz w:val="20"/>
        </w:rPr>
        <w:t>:</w:t>
      </w:r>
      <w:r w:rsidR="00687258">
        <w:rPr>
          <w:rFonts w:ascii="Arial" w:hAnsi="Arial" w:cs="Arial"/>
          <w:sz w:val="20"/>
        </w:rPr>
        <w:t xml:space="preserve"> </w:t>
      </w:r>
      <w:r w:rsidR="007C7BD9" w:rsidRPr="00276D24">
        <w:rPr>
          <w:rFonts w:ascii="Arial" w:hAnsi="Arial" w:cs="Arial"/>
          <w:sz w:val="20"/>
        </w:rPr>
        <w:t>El Compendio de Normas Aduaneras, actualizado por la Resolución N° 1</w:t>
      </w:r>
      <w:r w:rsidR="006C06FE" w:rsidRPr="00276D24">
        <w:rPr>
          <w:rFonts w:ascii="Arial" w:hAnsi="Arial" w:cs="Arial"/>
          <w:sz w:val="20"/>
        </w:rPr>
        <w:t>.</w:t>
      </w:r>
      <w:r w:rsidR="007C7BD9" w:rsidRPr="00276D24">
        <w:rPr>
          <w:rFonts w:ascii="Arial" w:hAnsi="Arial" w:cs="Arial"/>
          <w:sz w:val="20"/>
        </w:rPr>
        <w:t>300/</w:t>
      </w:r>
      <w:r w:rsidR="006C06FE" w:rsidRPr="00276D24">
        <w:rPr>
          <w:rFonts w:ascii="Arial" w:hAnsi="Arial" w:cs="Arial"/>
          <w:sz w:val="20"/>
        </w:rPr>
        <w:t>20</w:t>
      </w:r>
      <w:r w:rsidR="007C7BD9" w:rsidRPr="00276D24">
        <w:rPr>
          <w:rFonts w:ascii="Arial" w:hAnsi="Arial" w:cs="Arial"/>
          <w:sz w:val="20"/>
        </w:rPr>
        <w:t>06, de esta Dirección Nacional, publicado en el Diario Oficial de 17.11.2008.</w:t>
      </w:r>
    </w:p>
    <w:p w:rsidR="00942F61" w:rsidRPr="00276D24" w:rsidRDefault="00942F61" w:rsidP="00953379">
      <w:pPr>
        <w:jc w:val="both"/>
        <w:rPr>
          <w:rFonts w:ascii="Arial" w:hAnsi="Arial" w:cs="Arial"/>
          <w:sz w:val="20"/>
        </w:rPr>
      </w:pPr>
    </w:p>
    <w:p w:rsidR="003C30B5" w:rsidRPr="00195FB9" w:rsidRDefault="00953379" w:rsidP="00953379">
      <w:pPr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195FB9" w:rsidRPr="00195FB9">
        <w:rPr>
          <w:rFonts w:ascii="Arial" w:hAnsi="Arial" w:cs="Arial"/>
          <w:b/>
          <w:sz w:val="20"/>
        </w:rPr>
        <w:t>Lo establecido</w:t>
      </w:r>
      <w:r w:rsidR="00C82135" w:rsidRPr="00195FB9">
        <w:rPr>
          <w:rFonts w:ascii="Arial" w:hAnsi="Arial" w:cs="Arial"/>
          <w:b/>
          <w:sz w:val="20"/>
        </w:rPr>
        <w:t xml:space="preserve"> en el artículo 8</w:t>
      </w:r>
      <w:r w:rsidR="003C30B5" w:rsidRPr="00195FB9">
        <w:rPr>
          <w:rFonts w:ascii="Arial" w:hAnsi="Arial" w:cs="Arial"/>
          <w:b/>
          <w:sz w:val="20"/>
        </w:rPr>
        <w:t xml:space="preserve"> de la ley 16.319, </w:t>
      </w:r>
      <w:r w:rsidR="00195FB9" w:rsidRPr="00195FB9">
        <w:rPr>
          <w:rFonts w:ascii="Arial" w:hAnsi="Arial" w:cs="Arial"/>
          <w:b/>
          <w:sz w:val="20"/>
        </w:rPr>
        <w:t xml:space="preserve">que prescribe </w:t>
      </w:r>
      <w:r w:rsidR="003C30B5" w:rsidRPr="00276D24">
        <w:rPr>
          <w:rFonts w:ascii="Arial" w:hAnsi="Arial" w:cs="Arial"/>
          <w:sz w:val="20"/>
        </w:rPr>
        <w:t>que</w:t>
      </w:r>
      <w:r w:rsidR="00195FB9">
        <w:rPr>
          <w:rFonts w:ascii="Arial" w:hAnsi="Arial" w:cs="Arial"/>
          <w:sz w:val="20"/>
        </w:rPr>
        <w:t xml:space="preserve">, </w:t>
      </w:r>
      <w:r w:rsidR="003C30B5" w:rsidRPr="00276D24">
        <w:rPr>
          <w:rFonts w:ascii="Arial" w:hAnsi="Arial" w:cs="Arial"/>
          <w:sz w:val="20"/>
        </w:rPr>
        <w:t xml:space="preserve"> por exigirlo el interés nacional, los materiales atómicos naturales y el litio</w:t>
      </w:r>
      <w:r w:rsidR="00865339" w:rsidRPr="00276D24">
        <w:rPr>
          <w:rFonts w:ascii="Arial" w:hAnsi="Arial" w:cs="Arial"/>
          <w:sz w:val="20"/>
        </w:rPr>
        <w:t>,</w:t>
      </w:r>
      <w:r w:rsidR="003C30B5" w:rsidRPr="00276D24">
        <w:rPr>
          <w:rFonts w:ascii="Arial" w:hAnsi="Arial" w:cs="Arial"/>
          <w:sz w:val="20"/>
        </w:rPr>
        <w:t xml:space="preserve"> extraídos y los concentrados, derivados o compuestos de aquellos y este, no podrán ser objeto de ninguna clase de actos jurídicos sino cuando ellos se ejecuten o celebren por la Comisión Chilena de Energía Nuclear, con esta o con su autorización previa.</w:t>
      </w:r>
    </w:p>
    <w:p w:rsidR="00C82135" w:rsidRDefault="00C82135" w:rsidP="00953379">
      <w:pPr>
        <w:jc w:val="both"/>
        <w:rPr>
          <w:rFonts w:ascii="Arial" w:hAnsi="Arial" w:cs="Arial"/>
          <w:sz w:val="20"/>
        </w:rPr>
      </w:pPr>
    </w:p>
    <w:p w:rsidR="00195FB9" w:rsidRDefault="00C4465C" w:rsidP="0095337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82135" w:rsidRPr="00276D24">
        <w:rPr>
          <w:rFonts w:ascii="Arial" w:hAnsi="Arial" w:cs="Arial"/>
          <w:sz w:val="20"/>
        </w:rPr>
        <w:t xml:space="preserve">El </w:t>
      </w:r>
      <w:r w:rsidR="00C82135">
        <w:rPr>
          <w:rFonts w:ascii="Arial" w:hAnsi="Arial" w:cs="Arial"/>
          <w:sz w:val="20"/>
        </w:rPr>
        <w:t xml:space="preserve">artículo 9° del </w:t>
      </w:r>
      <w:r w:rsidR="00C82135" w:rsidRPr="00276D24">
        <w:rPr>
          <w:rFonts w:ascii="Arial" w:hAnsi="Arial" w:cs="Arial"/>
          <w:sz w:val="20"/>
        </w:rPr>
        <w:t>Código de Minería,</w:t>
      </w:r>
      <w:r w:rsidR="00C82135">
        <w:rPr>
          <w:rFonts w:ascii="Arial" w:hAnsi="Arial" w:cs="Arial"/>
          <w:sz w:val="20"/>
        </w:rPr>
        <w:t xml:space="preserve"> que regula y otorga a la </w:t>
      </w:r>
      <w:r w:rsidR="00C82135" w:rsidRPr="00276D24">
        <w:rPr>
          <w:rFonts w:ascii="Arial" w:hAnsi="Arial" w:cs="Arial"/>
          <w:sz w:val="20"/>
        </w:rPr>
        <w:t>Comisión Chilena de Energía Nuclear</w:t>
      </w:r>
      <w:r w:rsidR="00C82135">
        <w:rPr>
          <w:rFonts w:ascii="Arial" w:hAnsi="Arial" w:cs="Arial"/>
          <w:sz w:val="20"/>
        </w:rPr>
        <w:t>, la competencia relativa a los actos jurídicos en torno a la extracción de litio</w:t>
      </w:r>
      <w:r w:rsidR="00195FB9">
        <w:rPr>
          <w:rFonts w:ascii="Arial" w:hAnsi="Arial" w:cs="Arial"/>
          <w:sz w:val="20"/>
        </w:rPr>
        <w:t>.</w:t>
      </w:r>
    </w:p>
    <w:p w:rsidR="00195FB9" w:rsidRPr="00195FB9" w:rsidRDefault="00195FB9" w:rsidP="00953379">
      <w:pPr>
        <w:jc w:val="both"/>
        <w:rPr>
          <w:rFonts w:ascii="Arial" w:hAnsi="Arial" w:cs="Arial"/>
          <w:b/>
          <w:sz w:val="20"/>
        </w:rPr>
      </w:pPr>
    </w:p>
    <w:p w:rsidR="00C82135" w:rsidRPr="00C82135" w:rsidRDefault="000E5F2D" w:rsidP="00C8213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82135">
        <w:rPr>
          <w:rFonts w:ascii="Arial" w:hAnsi="Arial" w:cs="Arial"/>
          <w:sz w:val="20"/>
        </w:rPr>
        <w:tab/>
        <w:t>Lo dispuesto en el artículo 71</w:t>
      </w:r>
      <w:r>
        <w:rPr>
          <w:rFonts w:ascii="Arial" w:hAnsi="Arial" w:cs="Arial"/>
          <w:sz w:val="20"/>
        </w:rPr>
        <w:t xml:space="preserve"> de la Ordenanza de Aduanas que define la destinación aduanera como la manifestación del dueño, consignante o consignatario que indica el régimen aduanero que debe darse a las mercancías que ingresan o salen del territorio nacional</w:t>
      </w:r>
      <w:r w:rsidR="00C82135">
        <w:rPr>
          <w:rFonts w:ascii="Arial" w:hAnsi="Arial" w:cs="Arial"/>
          <w:sz w:val="20"/>
        </w:rPr>
        <w:t xml:space="preserve">, </w:t>
      </w:r>
      <w:r w:rsidR="00C82135" w:rsidRPr="00C82135">
        <w:rPr>
          <w:rFonts w:ascii="Arial" w:hAnsi="Arial" w:cs="Arial"/>
          <w:b/>
          <w:sz w:val="20"/>
        </w:rPr>
        <w:t>siendo dable colegir</w:t>
      </w:r>
      <w:r w:rsidR="00C82135">
        <w:rPr>
          <w:rFonts w:ascii="Arial" w:hAnsi="Arial" w:cs="Arial"/>
          <w:b/>
          <w:sz w:val="20"/>
        </w:rPr>
        <w:t xml:space="preserve">  que la destin</w:t>
      </w:r>
      <w:r w:rsidR="00C82135" w:rsidRPr="00C82135">
        <w:rPr>
          <w:rFonts w:ascii="Arial" w:hAnsi="Arial" w:cs="Arial"/>
          <w:b/>
          <w:sz w:val="20"/>
        </w:rPr>
        <w:t xml:space="preserve">ación de exportación  </w:t>
      </w:r>
      <w:r w:rsidR="00C82135">
        <w:rPr>
          <w:rFonts w:ascii="Arial" w:hAnsi="Arial" w:cs="Arial"/>
          <w:b/>
          <w:sz w:val="20"/>
        </w:rPr>
        <w:t>es una especie de acto jurídico, en particular, u</w:t>
      </w:r>
      <w:r w:rsidR="00195FB9">
        <w:rPr>
          <w:rFonts w:ascii="Arial" w:hAnsi="Arial" w:cs="Arial"/>
          <w:b/>
          <w:sz w:val="20"/>
        </w:rPr>
        <w:t>n ac</w:t>
      </w:r>
      <w:r w:rsidR="00C82135">
        <w:rPr>
          <w:rFonts w:ascii="Arial" w:hAnsi="Arial" w:cs="Arial"/>
          <w:b/>
          <w:sz w:val="20"/>
        </w:rPr>
        <w:t>to administrativo, sujeto, por ende, a lo dispuesto en el artículo 8 antes cita</w:t>
      </w:r>
      <w:r w:rsidR="00195FB9">
        <w:rPr>
          <w:rFonts w:ascii="Arial" w:hAnsi="Arial" w:cs="Arial"/>
          <w:b/>
          <w:sz w:val="20"/>
        </w:rPr>
        <w:t>do.</w:t>
      </w:r>
    </w:p>
    <w:p w:rsidR="00C82135" w:rsidRDefault="00C82135" w:rsidP="00953379">
      <w:pPr>
        <w:jc w:val="both"/>
        <w:rPr>
          <w:rFonts w:ascii="Arial" w:hAnsi="Arial" w:cs="Arial"/>
          <w:b/>
          <w:sz w:val="20"/>
        </w:rPr>
      </w:pPr>
    </w:p>
    <w:p w:rsidR="00C82135" w:rsidRDefault="00C4465C" w:rsidP="0095337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C82135">
        <w:rPr>
          <w:rFonts w:ascii="Arial" w:hAnsi="Arial" w:cs="Arial"/>
          <w:b/>
          <w:sz w:val="20"/>
        </w:rPr>
        <w:t>Lo prescrito en el artículo 77 de la Ordenanza del Ramo, que faculta al Director Nacional de Aduanas para señalar los documentos, visaciones o exigencias que se requieran para la tramitación de las destinaciones aduaneras, de acuerdo a las normas legales y reglamentarias, entre ellas, las de exportación.</w:t>
      </w:r>
    </w:p>
    <w:p w:rsidR="00C82135" w:rsidRDefault="00C82135" w:rsidP="00953379">
      <w:pPr>
        <w:jc w:val="both"/>
        <w:rPr>
          <w:rFonts w:ascii="Arial" w:hAnsi="Arial" w:cs="Arial"/>
          <w:b/>
          <w:sz w:val="20"/>
        </w:rPr>
      </w:pPr>
    </w:p>
    <w:p w:rsidR="001A3F8D" w:rsidRPr="00C82135" w:rsidRDefault="00C4465C" w:rsidP="0095337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A3F8D" w:rsidRPr="00276D24">
        <w:rPr>
          <w:rFonts w:ascii="Arial" w:hAnsi="Arial" w:cs="Arial"/>
          <w:sz w:val="20"/>
        </w:rPr>
        <w:t>El oficio N° 12/034</w:t>
      </w:r>
      <w:r w:rsidR="00865339" w:rsidRPr="00276D24">
        <w:rPr>
          <w:rFonts w:ascii="Arial" w:hAnsi="Arial" w:cs="Arial"/>
          <w:sz w:val="20"/>
        </w:rPr>
        <w:t xml:space="preserve"> del 2015</w:t>
      </w:r>
      <w:r w:rsidR="001A3F8D" w:rsidRPr="00276D24">
        <w:rPr>
          <w:rFonts w:ascii="Arial" w:hAnsi="Arial" w:cs="Arial"/>
          <w:sz w:val="20"/>
        </w:rPr>
        <w:t xml:space="preserve"> del Presidente la Comisión Chilena de Energía Nuclear requiriendo la cooperación del Servicio Nacional de Aduanas para el cumplimiento de los requisitos para la exportación de las partidas de Litio.</w:t>
      </w:r>
    </w:p>
    <w:p w:rsidR="00A54B76" w:rsidRDefault="00A54B76" w:rsidP="00953379">
      <w:pPr>
        <w:jc w:val="both"/>
        <w:rPr>
          <w:rFonts w:ascii="Arial" w:hAnsi="Arial" w:cs="Arial"/>
          <w:sz w:val="20"/>
        </w:rPr>
      </w:pP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1A3F8D" w:rsidRPr="00276D24" w:rsidRDefault="001A3F8D" w:rsidP="00953379">
      <w:pPr>
        <w:jc w:val="both"/>
        <w:rPr>
          <w:rFonts w:ascii="Arial" w:hAnsi="Arial" w:cs="Arial"/>
          <w:sz w:val="20"/>
        </w:rPr>
      </w:pPr>
    </w:p>
    <w:p w:rsidR="003C30B5" w:rsidRPr="00276D24" w:rsidRDefault="001A3F8D" w:rsidP="001A3F8D">
      <w:pPr>
        <w:ind w:left="567" w:firstLine="2835"/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b/>
          <w:sz w:val="20"/>
        </w:rPr>
        <w:tab/>
      </w:r>
      <w:r w:rsidR="003C30B5" w:rsidRPr="00276D24">
        <w:rPr>
          <w:rFonts w:ascii="Arial" w:hAnsi="Arial" w:cs="Arial"/>
          <w:b/>
          <w:sz w:val="20"/>
        </w:rPr>
        <w:t>CONSIDERANDO:</w:t>
      </w:r>
    </w:p>
    <w:p w:rsidR="003C30B5" w:rsidRPr="00276D24" w:rsidRDefault="003C30B5" w:rsidP="00953379">
      <w:pPr>
        <w:ind w:left="567" w:hanging="567"/>
        <w:jc w:val="both"/>
        <w:rPr>
          <w:rFonts w:ascii="Arial" w:hAnsi="Arial" w:cs="Arial"/>
          <w:b/>
          <w:sz w:val="20"/>
        </w:rPr>
      </w:pPr>
    </w:p>
    <w:p w:rsidR="0075291F" w:rsidRDefault="00953379" w:rsidP="00953379">
      <w:pPr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195FB9">
        <w:rPr>
          <w:rFonts w:ascii="Arial" w:hAnsi="Arial" w:cs="Arial"/>
          <w:b/>
          <w:sz w:val="20"/>
        </w:rPr>
        <w:t xml:space="preserve">Que, </w:t>
      </w:r>
      <w:r w:rsidR="003367C1">
        <w:rPr>
          <w:rFonts w:ascii="Arial" w:hAnsi="Arial" w:cs="Arial"/>
          <w:b/>
          <w:sz w:val="20"/>
        </w:rPr>
        <w:t xml:space="preserve">a </w:t>
      </w:r>
      <w:r w:rsidR="003C30B5" w:rsidRPr="00195FB9">
        <w:rPr>
          <w:rFonts w:ascii="Arial" w:hAnsi="Arial" w:cs="Arial"/>
          <w:b/>
          <w:sz w:val="20"/>
        </w:rPr>
        <w:t>la Comi</w:t>
      </w:r>
      <w:r w:rsidR="00865339" w:rsidRPr="00195FB9">
        <w:rPr>
          <w:rFonts w:ascii="Arial" w:hAnsi="Arial" w:cs="Arial"/>
          <w:b/>
          <w:sz w:val="20"/>
        </w:rPr>
        <w:t xml:space="preserve">sión Chilena de Energía </w:t>
      </w:r>
      <w:r w:rsidR="00D16262">
        <w:rPr>
          <w:rFonts w:ascii="Arial" w:hAnsi="Arial" w:cs="Arial"/>
          <w:b/>
          <w:sz w:val="20"/>
        </w:rPr>
        <w:t>Nuclear,</w:t>
      </w:r>
      <w:r w:rsidR="00A70C61">
        <w:rPr>
          <w:rFonts w:ascii="Arial" w:hAnsi="Arial" w:cs="Arial"/>
          <w:b/>
          <w:sz w:val="20"/>
        </w:rPr>
        <w:t xml:space="preserve"> </w:t>
      </w:r>
      <w:r w:rsidR="001A3F8D" w:rsidRPr="00195FB9">
        <w:rPr>
          <w:rFonts w:ascii="Arial" w:hAnsi="Arial" w:cs="Arial"/>
          <w:b/>
          <w:sz w:val="20"/>
        </w:rPr>
        <w:t xml:space="preserve">en adelante </w:t>
      </w:r>
      <w:r w:rsidR="00D16262">
        <w:rPr>
          <w:rFonts w:ascii="Arial" w:hAnsi="Arial" w:cs="Arial"/>
          <w:b/>
          <w:sz w:val="20"/>
        </w:rPr>
        <w:t xml:space="preserve">CCHEN, </w:t>
      </w:r>
      <w:r w:rsidR="003367C1">
        <w:rPr>
          <w:rFonts w:ascii="Arial" w:hAnsi="Arial" w:cs="Arial"/>
          <w:b/>
          <w:sz w:val="20"/>
        </w:rPr>
        <w:t xml:space="preserve">le corresponde </w:t>
      </w:r>
      <w:r w:rsidR="003C30B5" w:rsidRPr="00195FB9">
        <w:rPr>
          <w:rFonts w:ascii="Arial" w:hAnsi="Arial" w:cs="Arial"/>
          <w:b/>
          <w:sz w:val="20"/>
        </w:rPr>
        <w:t>otorga</w:t>
      </w:r>
      <w:r w:rsidR="003367C1">
        <w:rPr>
          <w:rFonts w:ascii="Arial" w:hAnsi="Arial" w:cs="Arial"/>
          <w:b/>
          <w:sz w:val="20"/>
        </w:rPr>
        <w:t>r</w:t>
      </w:r>
      <w:r w:rsidR="003C30B5" w:rsidRPr="00195FB9">
        <w:rPr>
          <w:rFonts w:ascii="Arial" w:hAnsi="Arial" w:cs="Arial"/>
          <w:b/>
          <w:sz w:val="20"/>
        </w:rPr>
        <w:t xml:space="preserve"> las autorizaciones </w:t>
      </w:r>
      <w:r w:rsidR="00195FB9" w:rsidRPr="00195FB9">
        <w:rPr>
          <w:rFonts w:ascii="Arial" w:hAnsi="Arial" w:cs="Arial"/>
          <w:b/>
          <w:sz w:val="20"/>
        </w:rPr>
        <w:t xml:space="preserve">para la </w:t>
      </w:r>
      <w:r w:rsidR="003C30B5" w:rsidRPr="00195FB9">
        <w:rPr>
          <w:rFonts w:ascii="Arial" w:hAnsi="Arial" w:cs="Arial"/>
          <w:b/>
          <w:sz w:val="20"/>
        </w:rPr>
        <w:t xml:space="preserve">extracción </w:t>
      </w:r>
      <w:r w:rsidR="00195FB9" w:rsidRPr="00195FB9">
        <w:rPr>
          <w:rFonts w:ascii="Arial" w:hAnsi="Arial" w:cs="Arial"/>
          <w:b/>
          <w:sz w:val="20"/>
        </w:rPr>
        <w:t>del litio</w:t>
      </w:r>
      <w:r w:rsidR="0075291F">
        <w:rPr>
          <w:rFonts w:ascii="Arial" w:hAnsi="Arial" w:cs="Arial"/>
          <w:b/>
          <w:sz w:val="20"/>
        </w:rPr>
        <w:t>.</w:t>
      </w: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75291F" w:rsidRDefault="00953379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195FB9">
        <w:rPr>
          <w:rFonts w:ascii="Arial" w:hAnsi="Arial" w:cs="Arial"/>
          <w:sz w:val="20"/>
        </w:rPr>
        <w:t>Que</w:t>
      </w:r>
      <w:r w:rsidR="00865339" w:rsidRPr="00276D24">
        <w:rPr>
          <w:rFonts w:ascii="Arial" w:hAnsi="Arial" w:cs="Arial"/>
          <w:sz w:val="20"/>
        </w:rPr>
        <w:t xml:space="preserve">, la </w:t>
      </w:r>
      <w:r w:rsidR="005705AD" w:rsidRPr="00276D24">
        <w:rPr>
          <w:rFonts w:ascii="Arial" w:hAnsi="Arial" w:cs="Arial"/>
          <w:sz w:val="20"/>
        </w:rPr>
        <w:t>CCHEN solicitó la cooperación de</w:t>
      </w:r>
      <w:r w:rsidR="00865339" w:rsidRPr="00276D24">
        <w:rPr>
          <w:rFonts w:ascii="Arial" w:hAnsi="Arial" w:cs="Arial"/>
          <w:sz w:val="20"/>
        </w:rPr>
        <w:t>l</w:t>
      </w:r>
      <w:r w:rsidR="005705AD" w:rsidRPr="00276D24">
        <w:rPr>
          <w:rFonts w:ascii="Arial" w:hAnsi="Arial" w:cs="Arial"/>
          <w:sz w:val="20"/>
        </w:rPr>
        <w:t xml:space="preserve"> Servicio Nacional de Aduanas, para verificar el cumplimiento de </w:t>
      </w:r>
      <w:r w:rsidR="00865339" w:rsidRPr="00276D24">
        <w:rPr>
          <w:rFonts w:ascii="Arial" w:hAnsi="Arial" w:cs="Arial"/>
          <w:sz w:val="20"/>
        </w:rPr>
        <w:t xml:space="preserve">los </w:t>
      </w:r>
      <w:r w:rsidR="005705AD" w:rsidRPr="00276D24">
        <w:rPr>
          <w:rFonts w:ascii="Arial" w:hAnsi="Arial" w:cs="Arial"/>
          <w:sz w:val="20"/>
        </w:rPr>
        <w:t>Acuerdos del Consejo de CCHEN Nº 1576 del 10 de Octubre de 1995 y Nº 1916 del 29 de Julio de 2011</w:t>
      </w:r>
      <w:r w:rsidR="0075291F">
        <w:rPr>
          <w:rFonts w:ascii="Arial" w:hAnsi="Arial" w:cs="Arial"/>
          <w:sz w:val="20"/>
        </w:rPr>
        <w:t>.</w:t>
      </w:r>
    </w:p>
    <w:p w:rsidR="00195FB9" w:rsidRDefault="00195FB9" w:rsidP="00195FB9">
      <w:pPr>
        <w:jc w:val="both"/>
        <w:rPr>
          <w:rFonts w:ascii="Arial" w:hAnsi="Arial" w:cs="Arial"/>
          <w:sz w:val="20"/>
        </w:rPr>
      </w:pPr>
    </w:p>
    <w:p w:rsidR="000C4891" w:rsidRDefault="00C4465C" w:rsidP="0086533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95FB9">
        <w:rPr>
          <w:rFonts w:ascii="Arial" w:hAnsi="Arial" w:cs="Arial"/>
          <w:sz w:val="20"/>
        </w:rPr>
        <w:t xml:space="preserve">Que, </w:t>
      </w:r>
      <w:r w:rsidR="0075291F">
        <w:rPr>
          <w:rFonts w:ascii="Arial" w:hAnsi="Arial" w:cs="Arial"/>
          <w:sz w:val="20"/>
        </w:rPr>
        <w:t xml:space="preserve">de acuerdo a lo dispuesto en los </w:t>
      </w:r>
      <w:r w:rsidR="00195FB9">
        <w:rPr>
          <w:rFonts w:ascii="Arial" w:hAnsi="Arial" w:cs="Arial"/>
          <w:sz w:val="20"/>
        </w:rPr>
        <w:t xml:space="preserve"> artículo</w:t>
      </w:r>
      <w:r w:rsidR="0075291F">
        <w:rPr>
          <w:rFonts w:ascii="Arial" w:hAnsi="Arial" w:cs="Arial"/>
          <w:sz w:val="20"/>
        </w:rPr>
        <w:t>s</w:t>
      </w:r>
      <w:r w:rsidR="00195FB9">
        <w:rPr>
          <w:rFonts w:ascii="Arial" w:hAnsi="Arial" w:cs="Arial"/>
          <w:sz w:val="20"/>
        </w:rPr>
        <w:t xml:space="preserve"> 77 de l</w:t>
      </w:r>
      <w:r w:rsidR="0075291F">
        <w:rPr>
          <w:rFonts w:ascii="Arial" w:hAnsi="Arial" w:cs="Arial"/>
          <w:sz w:val="20"/>
        </w:rPr>
        <w:t>a Ordenanza de Aduanas,</w:t>
      </w:r>
      <w:r w:rsidR="00195FB9">
        <w:rPr>
          <w:rFonts w:ascii="Arial" w:hAnsi="Arial" w:cs="Arial"/>
          <w:sz w:val="20"/>
        </w:rPr>
        <w:t xml:space="preserve"> 8°</w:t>
      </w:r>
      <w:r w:rsidR="0075291F">
        <w:rPr>
          <w:rFonts w:ascii="Arial" w:hAnsi="Arial" w:cs="Arial"/>
          <w:sz w:val="20"/>
        </w:rPr>
        <w:t xml:space="preserve"> de la ley 16.319 y  </w:t>
      </w:r>
      <w:r w:rsidR="00195FB9">
        <w:rPr>
          <w:rFonts w:ascii="Arial" w:hAnsi="Arial" w:cs="Arial"/>
          <w:sz w:val="20"/>
        </w:rPr>
        <w:t>9° del Código de Minería, resulta procedente que, en la exportación de litio</w:t>
      </w:r>
      <w:r w:rsidR="0075291F">
        <w:rPr>
          <w:rFonts w:ascii="Arial" w:hAnsi="Arial" w:cs="Arial"/>
          <w:sz w:val="20"/>
        </w:rPr>
        <w:t xml:space="preserve">, </w:t>
      </w:r>
      <w:r w:rsidR="00195FB9">
        <w:rPr>
          <w:rFonts w:ascii="Arial" w:hAnsi="Arial" w:cs="Arial"/>
          <w:sz w:val="20"/>
        </w:rPr>
        <w:t xml:space="preserve"> el Servicio Nacional de Aduanas exija la autorización o visto bueno otor</w:t>
      </w:r>
      <w:r w:rsidR="0075291F">
        <w:rPr>
          <w:rFonts w:ascii="Arial" w:hAnsi="Arial" w:cs="Arial"/>
          <w:sz w:val="20"/>
        </w:rPr>
        <w:t>gado por la CCHEN, de manera previa a</w:t>
      </w:r>
      <w:r w:rsidR="00763CA1" w:rsidRPr="00276D24">
        <w:rPr>
          <w:rFonts w:ascii="Arial" w:hAnsi="Arial" w:cs="Arial"/>
          <w:sz w:val="20"/>
        </w:rPr>
        <w:t xml:space="preserve">l embarque de </w:t>
      </w:r>
      <w:r w:rsidR="0075291F">
        <w:rPr>
          <w:rFonts w:ascii="Arial" w:hAnsi="Arial" w:cs="Arial"/>
          <w:sz w:val="20"/>
        </w:rPr>
        <w:t xml:space="preserve">la </w:t>
      </w:r>
      <w:r w:rsidR="00763CA1" w:rsidRPr="00276D24">
        <w:rPr>
          <w:rFonts w:ascii="Arial" w:hAnsi="Arial" w:cs="Arial"/>
          <w:sz w:val="20"/>
        </w:rPr>
        <w:t xml:space="preserve">exportación </w:t>
      </w:r>
      <w:r w:rsidR="0075291F">
        <w:rPr>
          <w:rFonts w:ascii="Arial" w:hAnsi="Arial" w:cs="Arial"/>
          <w:sz w:val="20"/>
        </w:rPr>
        <w:t>de l</w:t>
      </w:r>
      <w:r w:rsidR="00763CA1" w:rsidRPr="00276D24">
        <w:rPr>
          <w:rFonts w:ascii="Arial" w:hAnsi="Arial" w:cs="Arial"/>
          <w:sz w:val="20"/>
        </w:rPr>
        <w:t>itio.</w:t>
      </w:r>
    </w:p>
    <w:p w:rsidR="000C4891" w:rsidRPr="00276D24" w:rsidRDefault="000C4891" w:rsidP="00865339">
      <w:pPr>
        <w:jc w:val="both"/>
        <w:rPr>
          <w:rFonts w:ascii="Arial" w:hAnsi="Arial" w:cs="Arial"/>
          <w:sz w:val="20"/>
        </w:rPr>
      </w:pPr>
    </w:p>
    <w:p w:rsidR="008820CD" w:rsidRPr="00276D24" w:rsidRDefault="005705AD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3C30B5" w:rsidRPr="00276D24">
        <w:rPr>
          <w:rFonts w:ascii="Arial" w:hAnsi="Arial" w:cs="Arial"/>
          <w:sz w:val="20"/>
        </w:rPr>
        <w:t>Que, para mejorar los procedimientos de control de las exportaciones de productos mineros, es necesario actualizar las instrucciones administrativas.</w:t>
      </w: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3C30B5" w:rsidRDefault="003C30B5" w:rsidP="00953379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sz w:val="20"/>
          <w:szCs w:val="22"/>
        </w:rPr>
      </w:pPr>
    </w:p>
    <w:p w:rsidR="000C4891" w:rsidRDefault="000C4891" w:rsidP="00953379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sz w:val="20"/>
          <w:szCs w:val="22"/>
        </w:rPr>
      </w:pPr>
    </w:p>
    <w:p w:rsidR="000C4891" w:rsidRPr="00276D24" w:rsidRDefault="000C4891" w:rsidP="00953379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sz w:val="20"/>
          <w:szCs w:val="22"/>
        </w:rPr>
      </w:pPr>
    </w:p>
    <w:p w:rsidR="003C30B5" w:rsidRPr="00276D24" w:rsidRDefault="003C30B5" w:rsidP="00953379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sz w:val="20"/>
          <w:szCs w:val="22"/>
        </w:rPr>
      </w:pPr>
    </w:p>
    <w:p w:rsidR="0075291F" w:rsidRDefault="0075291F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C4465C" w:rsidRDefault="00C4465C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75291F" w:rsidRDefault="0075291F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75291F" w:rsidRDefault="0075291F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C4465C" w:rsidRDefault="00C4465C">
      <w:pPr>
        <w:rPr>
          <w:rFonts w:ascii="Arial" w:hAnsi="Arial" w:cs="Arial"/>
          <w:b/>
          <w:sz w:val="20"/>
          <w:lang w:val="es-CL" w:eastAsia="es-CL"/>
        </w:rPr>
      </w:pPr>
      <w:r>
        <w:rPr>
          <w:rFonts w:ascii="Arial" w:hAnsi="Arial" w:cs="Arial"/>
          <w:b/>
          <w:sz w:val="20"/>
        </w:rPr>
        <w:br w:type="page"/>
      </w:r>
    </w:p>
    <w:p w:rsidR="0075291F" w:rsidRDefault="0075291F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CC4A7F" w:rsidRPr="00276D24" w:rsidRDefault="003C30B5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  <w:r w:rsidRPr="00276D24">
        <w:rPr>
          <w:rFonts w:ascii="Arial" w:hAnsi="Arial" w:cs="Arial"/>
          <w:b/>
          <w:sz w:val="20"/>
          <w:szCs w:val="22"/>
        </w:rPr>
        <w:t>TENIENDO PRESENTE:</w:t>
      </w:r>
    </w:p>
    <w:p w:rsidR="00953379" w:rsidRPr="00276D24" w:rsidRDefault="00953379" w:rsidP="00953379">
      <w:pPr>
        <w:jc w:val="both"/>
        <w:rPr>
          <w:rFonts w:ascii="Arial" w:hAnsi="Arial" w:cs="Arial"/>
          <w:sz w:val="20"/>
        </w:rPr>
      </w:pPr>
    </w:p>
    <w:p w:rsidR="00CC4A7F" w:rsidRPr="00276D24" w:rsidRDefault="00953379" w:rsidP="00380D6B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3C30B5" w:rsidRPr="00276D24">
        <w:rPr>
          <w:rFonts w:ascii="Arial" w:hAnsi="Arial" w:cs="Arial"/>
          <w:sz w:val="20"/>
        </w:rPr>
        <w:t>Lo dispuesto en el artículo 4°, Nº8, del DFL 329, de 1979, y la Resolución Nº 1600 de 2008 de la Contraloría General de la República, sobre exención del trámite de toma de razón, dicto la siguiente:</w:t>
      </w: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CC4A7F" w:rsidRPr="00276D24" w:rsidRDefault="003C30B5" w:rsidP="00380D6B">
      <w:pPr>
        <w:ind w:firstLine="3402"/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b/>
          <w:sz w:val="20"/>
        </w:rPr>
        <w:t>RESOLUCIÓN:</w:t>
      </w:r>
    </w:p>
    <w:p w:rsidR="00763CA1" w:rsidRPr="00276D24" w:rsidRDefault="00763CA1" w:rsidP="00953379">
      <w:pPr>
        <w:ind w:firstLine="3402"/>
        <w:jc w:val="both"/>
        <w:rPr>
          <w:rFonts w:ascii="Arial" w:hAnsi="Arial" w:cs="Arial"/>
          <w:b/>
          <w:sz w:val="20"/>
        </w:rPr>
      </w:pPr>
    </w:p>
    <w:p w:rsidR="003C30B5" w:rsidRPr="00893126" w:rsidRDefault="003C30B5" w:rsidP="0089312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lang w:eastAsia="es-ES_tradnl"/>
        </w:rPr>
      </w:pPr>
      <w:r w:rsidRPr="00893126">
        <w:rPr>
          <w:rFonts w:ascii="Arial" w:hAnsi="Arial" w:cs="Arial"/>
          <w:b/>
          <w:sz w:val="20"/>
          <w:lang w:eastAsia="es-ES_tradnl"/>
        </w:rPr>
        <w:t>MODIFICASE</w:t>
      </w:r>
      <w:r w:rsidRPr="00893126">
        <w:rPr>
          <w:rFonts w:ascii="Arial" w:hAnsi="Arial" w:cs="Arial"/>
          <w:sz w:val="20"/>
          <w:lang w:eastAsia="es-ES_tradnl"/>
        </w:rPr>
        <w:t>, el Compendio de Normas Aduaneras, establecido por la Resolución N° 1300/2006, como se indica:</w:t>
      </w:r>
    </w:p>
    <w:p w:rsidR="003C30B5" w:rsidRPr="00276D24" w:rsidRDefault="003C30B5" w:rsidP="00FA1775">
      <w:pPr>
        <w:pStyle w:val="Prrafodelista"/>
        <w:ind w:left="360"/>
        <w:jc w:val="both"/>
        <w:rPr>
          <w:rFonts w:ascii="Arial" w:hAnsi="Arial" w:cs="Arial"/>
          <w:sz w:val="20"/>
          <w:lang w:eastAsia="es-ES_tradnl"/>
        </w:rPr>
      </w:pPr>
    </w:p>
    <w:p w:rsidR="003D474C" w:rsidRPr="00276D24" w:rsidRDefault="00A43D4B" w:rsidP="0089312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lang w:eastAsia="es-ES_tradnl"/>
        </w:rPr>
      </w:pPr>
      <w:r w:rsidRPr="00276D24">
        <w:rPr>
          <w:rFonts w:ascii="Arial" w:hAnsi="Arial" w:cs="Arial"/>
          <w:b/>
          <w:color w:val="000000" w:themeColor="text1"/>
          <w:sz w:val="20"/>
          <w:lang w:eastAsia="es-ES_tradnl"/>
        </w:rPr>
        <w:t>AGREGASE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, en el Capítulo IV, </w:t>
      </w:r>
      <w:r w:rsidRPr="00276D24">
        <w:rPr>
          <w:rFonts w:ascii="Arial" w:hAnsi="Arial" w:cs="Arial"/>
          <w:sz w:val="20"/>
          <w:lang w:eastAsia="es-ES_tradnl"/>
        </w:rPr>
        <w:t>como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numeral 2.1.4, lo siguiente:</w:t>
      </w:r>
    </w:p>
    <w:p w:rsidR="003C30B5" w:rsidRPr="00276D24" w:rsidRDefault="003C30B5" w:rsidP="00FA1775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2"/>
        </w:rPr>
      </w:pPr>
    </w:p>
    <w:p w:rsidR="003D474C" w:rsidRPr="00276D24" w:rsidRDefault="003C30B5" w:rsidP="00893126">
      <w:pPr>
        <w:pStyle w:val="NormalWeb"/>
        <w:tabs>
          <w:tab w:val="left" w:pos="0"/>
        </w:tabs>
        <w:spacing w:before="0" w:beforeAutospacing="0" w:after="0" w:afterAutospacing="0"/>
        <w:ind w:left="1788"/>
        <w:jc w:val="both"/>
        <w:rPr>
          <w:rFonts w:ascii="Arial" w:hAnsi="Arial" w:cs="Arial"/>
          <w:sz w:val="20"/>
          <w:szCs w:val="22"/>
        </w:rPr>
      </w:pPr>
      <w:r w:rsidRPr="00276D24">
        <w:rPr>
          <w:rFonts w:ascii="Arial" w:hAnsi="Arial" w:cs="Arial"/>
          <w:bCs/>
          <w:sz w:val="20"/>
          <w:szCs w:val="22"/>
        </w:rPr>
        <w:t>“</w:t>
      </w:r>
      <w:r w:rsidR="00380D6B" w:rsidRPr="00276D24">
        <w:rPr>
          <w:rFonts w:ascii="Arial" w:hAnsi="Arial" w:cs="Arial"/>
          <w:sz w:val="20"/>
          <w:szCs w:val="22"/>
        </w:rPr>
        <w:t>En caso de exportaciones</w:t>
      </w:r>
      <w:r w:rsidRPr="00276D24">
        <w:rPr>
          <w:rFonts w:ascii="Arial" w:hAnsi="Arial" w:cs="Arial"/>
          <w:sz w:val="20"/>
          <w:szCs w:val="22"/>
        </w:rPr>
        <w:t xml:space="preserve"> de litio,</w:t>
      </w:r>
      <w:r w:rsidR="007357A4" w:rsidRPr="00276D24">
        <w:rPr>
          <w:rFonts w:ascii="Arial" w:hAnsi="Arial" w:cs="Arial"/>
          <w:sz w:val="20"/>
          <w:szCs w:val="22"/>
        </w:rPr>
        <w:t xml:space="preserve"> sea como concentrados, derivados o compuestos</w:t>
      </w:r>
      <w:r w:rsidR="006E23A4" w:rsidRPr="00276D24">
        <w:rPr>
          <w:rFonts w:ascii="Arial" w:hAnsi="Arial" w:cs="Arial"/>
          <w:sz w:val="20"/>
          <w:szCs w:val="22"/>
        </w:rPr>
        <w:t>,</w:t>
      </w:r>
      <w:r w:rsidR="00B96BBF" w:rsidRPr="00276D24">
        <w:rPr>
          <w:rFonts w:ascii="Arial" w:hAnsi="Arial" w:cs="Arial"/>
          <w:sz w:val="20"/>
          <w:szCs w:val="22"/>
        </w:rPr>
        <w:t xml:space="preserve"> clasificadas en las partidas arancelarias</w:t>
      </w:r>
      <w:r w:rsidR="00B96BBF" w:rsidRPr="00AA3880">
        <w:rPr>
          <w:rFonts w:ascii="Arial" w:hAnsi="Arial" w:cs="Arial"/>
          <w:sz w:val="20"/>
          <w:szCs w:val="22"/>
        </w:rPr>
        <w:t>: 25309000</w:t>
      </w:r>
      <w:r w:rsidR="00544ADE" w:rsidRPr="00AA3880">
        <w:rPr>
          <w:rFonts w:ascii="Arial" w:hAnsi="Arial" w:cs="Arial"/>
          <w:sz w:val="20"/>
          <w:szCs w:val="22"/>
        </w:rPr>
        <w:t xml:space="preserve"> (cuando la mercancía declarada sea “Solución de Cloruro de Litio o “Salmuera de Litio”)</w:t>
      </w:r>
      <w:r w:rsidR="00B96BBF" w:rsidRPr="00AA3880">
        <w:rPr>
          <w:rFonts w:ascii="Arial" w:hAnsi="Arial" w:cs="Arial"/>
          <w:sz w:val="20"/>
          <w:szCs w:val="22"/>
        </w:rPr>
        <w:t>,</w:t>
      </w:r>
      <w:r w:rsidR="00B96BBF" w:rsidRPr="00276D24">
        <w:rPr>
          <w:rFonts w:ascii="Arial" w:hAnsi="Arial" w:cs="Arial"/>
          <w:sz w:val="20"/>
          <w:szCs w:val="22"/>
        </w:rPr>
        <w:t xml:space="preserve"> 28252000, 28273930, 28369100</w:t>
      </w:r>
      <w:r w:rsidR="00380D6B" w:rsidRPr="00276D24">
        <w:rPr>
          <w:rFonts w:ascii="Arial" w:hAnsi="Arial" w:cs="Arial"/>
          <w:sz w:val="20"/>
          <w:szCs w:val="22"/>
        </w:rPr>
        <w:t>, se</w:t>
      </w:r>
      <w:r w:rsidRPr="00276D24">
        <w:rPr>
          <w:rFonts w:ascii="Arial" w:hAnsi="Arial" w:cs="Arial"/>
          <w:sz w:val="20"/>
          <w:szCs w:val="22"/>
        </w:rPr>
        <w:t xml:space="preserve"> deberá acompañar las respectiva</w:t>
      </w:r>
      <w:r w:rsidR="00953379" w:rsidRPr="00276D24">
        <w:rPr>
          <w:rFonts w:ascii="Arial" w:hAnsi="Arial" w:cs="Arial"/>
          <w:sz w:val="20"/>
          <w:szCs w:val="22"/>
        </w:rPr>
        <w:t xml:space="preserve">s autorizaciones otorgadas por </w:t>
      </w:r>
      <w:r w:rsidR="00340555">
        <w:rPr>
          <w:rFonts w:ascii="Arial" w:hAnsi="Arial" w:cs="Arial"/>
          <w:sz w:val="20"/>
          <w:szCs w:val="22"/>
        </w:rPr>
        <w:t xml:space="preserve">la CCHEN </w:t>
      </w:r>
      <w:r w:rsidRPr="00276D24">
        <w:rPr>
          <w:rFonts w:ascii="Arial" w:hAnsi="Arial" w:cs="Arial"/>
          <w:sz w:val="20"/>
          <w:szCs w:val="22"/>
        </w:rPr>
        <w:t>a las empresas productoras y comercializadoras</w:t>
      </w:r>
      <w:r w:rsidR="00380D6B" w:rsidRPr="00276D24">
        <w:rPr>
          <w:rFonts w:ascii="Arial" w:hAnsi="Arial" w:cs="Arial"/>
          <w:sz w:val="20"/>
          <w:szCs w:val="22"/>
        </w:rPr>
        <w:t xml:space="preserve"> de estos productos</w:t>
      </w:r>
      <w:r w:rsidRPr="00276D24">
        <w:rPr>
          <w:rFonts w:ascii="Arial" w:hAnsi="Arial" w:cs="Arial"/>
          <w:sz w:val="20"/>
          <w:szCs w:val="22"/>
        </w:rPr>
        <w:t>.”</w:t>
      </w:r>
    </w:p>
    <w:p w:rsidR="003C30B5" w:rsidRPr="00276D24" w:rsidRDefault="003C30B5" w:rsidP="00FA1775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:rsidR="003D474C" w:rsidRPr="00276D24" w:rsidRDefault="00A43D4B" w:rsidP="0089312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lang w:eastAsia="es-ES_tradnl"/>
        </w:rPr>
      </w:pPr>
      <w:r w:rsidRPr="00276D24">
        <w:rPr>
          <w:rFonts w:ascii="Arial" w:hAnsi="Arial" w:cs="Arial"/>
          <w:b/>
          <w:color w:val="000000" w:themeColor="text1"/>
          <w:sz w:val="20"/>
          <w:lang w:eastAsia="es-ES_tradnl"/>
        </w:rPr>
        <w:t>AGREGASE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, en el Capítulo IV, numeral 3.10 letra f, c</w:t>
      </w:r>
      <w:r w:rsidRPr="00276D24">
        <w:rPr>
          <w:rFonts w:ascii="Arial" w:hAnsi="Arial" w:cs="Arial"/>
          <w:sz w:val="20"/>
          <w:lang w:eastAsia="es-ES_tradnl"/>
        </w:rPr>
        <w:t>omo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último párrafo, lo siguiente:</w:t>
      </w:r>
    </w:p>
    <w:p w:rsidR="003C30B5" w:rsidRPr="00276D24" w:rsidRDefault="003C30B5" w:rsidP="00FA1775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</w:p>
    <w:p w:rsidR="005D6FBC" w:rsidRDefault="00380D6B" w:rsidP="005D6FBC">
      <w:pPr>
        <w:pStyle w:val="NormalWeb"/>
        <w:tabs>
          <w:tab w:val="left" w:pos="0"/>
        </w:tabs>
        <w:spacing w:before="0" w:beforeAutospacing="0" w:after="0" w:afterAutospacing="0"/>
        <w:ind w:left="1788"/>
        <w:jc w:val="both"/>
        <w:rPr>
          <w:rFonts w:ascii="Arial" w:hAnsi="Arial" w:cs="Arial"/>
          <w:sz w:val="20"/>
          <w:szCs w:val="22"/>
        </w:rPr>
      </w:pPr>
      <w:r w:rsidRPr="00276D24">
        <w:rPr>
          <w:rFonts w:ascii="Arial" w:hAnsi="Arial" w:cs="Arial"/>
          <w:sz w:val="20"/>
          <w:szCs w:val="22"/>
        </w:rPr>
        <w:t>“Para las exportaciones</w:t>
      </w:r>
      <w:r w:rsidR="003C30B5" w:rsidRPr="00276D24">
        <w:rPr>
          <w:rFonts w:ascii="Arial" w:hAnsi="Arial" w:cs="Arial"/>
          <w:sz w:val="20"/>
          <w:szCs w:val="22"/>
        </w:rPr>
        <w:t xml:space="preserve"> de litio</w:t>
      </w:r>
      <w:r w:rsidR="007357A4" w:rsidRPr="00276D24">
        <w:rPr>
          <w:rFonts w:ascii="Arial" w:hAnsi="Arial" w:cs="Arial"/>
          <w:sz w:val="20"/>
          <w:szCs w:val="22"/>
        </w:rPr>
        <w:t>, sea como concentrados, derivados o compuestos</w:t>
      </w:r>
      <w:r w:rsidR="003C30B5" w:rsidRPr="00276D24">
        <w:rPr>
          <w:rFonts w:ascii="Arial" w:hAnsi="Arial" w:cs="Arial"/>
          <w:sz w:val="20"/>
          <w:szCs w:val="22"/>
        </w:rPr>
        <w:t>,</w:t>
      </w:r>
      <w:r w:rsidR="00B96BBF" w:rsidRPr="00276D24">
        <w:rPr>
          <w:rFonts w:ascii="Arial" w:hAnsi="Arial" w:cs="Arial"/>
          <w:sz w:val="20"/>
          <w:szCs w:val="22"/>
        </w:rPr>
        <w:t xml:space="preserve"> clasificadas en las partidas arancelarias: </w:t>
      </w:r>
      <w:r w:rsidR="00B96BBF" w:rsidRPr="00AA3880">
        <w:rPr>
          <w:rFonts w:ascii="Arial" w:hAnsi="Arial" w:cs="Arial"/>
          <w:sz w:val="20"/>
          <w:szCs w:val="22"/>
        </w:rPr>
        <w:t>25309000</w:t>
      </w:r>
      <w:r w:rsidR="00544ADE" w:rsidRPr="00AA3880">
        <w:rPr>
          <w:rFonts w:ascii="Arial" w:hAnsi="Arial" w:cs="Arial"/>
          <w:sz w:val="20"/>
          <w:szCs w:val="22"/>
        </w:rPr>
        <w:t xml:space="preserve"> (cuando la mercancía declarada sea “Solución de Cloruro de Litio o “Salmuera de Litio”)</w:t>
      </w:r>
      <w:r w:rsidR="00893126" w:rsidRPr="00AA3880">
        <w:rPr>
          <w:rFonts w:ascii="Arial" w:hAnsi="Arial" w:cs="Arial"/>
          <w:sz w:val="20"/>
          <w:szCs w:val="22"/>
        </w:rPr>
        <w:t>,</w:t>
      </w:r>
      <w:r w:rsidR="00893126" w:rsidRPr="00276D24">
        <w:rPr>
          <w:rFonts w:ascii="Arial" w:hAnsi="Arial" w:cs="Arial"/>
          <w:sz w:val="20"/>
          <w:szCs w:val="22"/>
        </w:rPr>
        <w:t xml:space="preserve"> 28252000</w:t>
      </w:r>
      <w:r w:rsidR="00B96BBF" w:rsidRPr="00276D24">
        <w:rPr>
          <w:rFonts w:ascii="Arial" w:hAnsi="Arial" w:cs="Arial"/>
          <w:sz w:val="20"/>
          <w:szCs w:val="22"/>
        </w:rPr>
        <w:t>, 28273930</w:t>
      </w:r>
      <w:r w:rsidR="005D6FBC">
        <w:rPr>
          <w:rFonts w:ascii="Arial" w:hAnsi="Arial" w:cs="Arial"/>
          <w:sz w:val="20"/>
          <w:szCs w:val="22"/>
        </w:rPr>
        <w:t xml:space="preserve"> y </w:t>
      </w:r>
      <w:r w:rsidR="00B96BBF" w:rsidRPr="00276D24">
        <w:rPr>
          <w:rFonts w:ascii="Arial" w:hAnsi="Arial" w:cs="Arial"/>
          <w:sz w:val="20"/>
          <w:szCs w:val="22"/>
        </w:rPr>
        <w:t>28369100,</w:t>
      </w:r>
      <w:r w:rsidR="003C30B5" w:rsidRPr="00276D24">
        <w:rPr>
          <w:rFonts w:ascii="Arial" w:hAnsi="Arial" w:cs="Arial"/>
          <w:sz w:val="20"/>
          <w:szCs w:val="22"/>
        </w:rPr>
        <w:t xml:space="preserve"> antes de su embarque se debe contar con una </w:t>
      </w:r>
      <w:r w:rsidR="00D16262">
        <w:rPr>
          <w:rFonts w:ascii="Arial" w:hAnsi="Arial" w:cs="Arial"/>
          <w:sz w:val="20"/>
          <w:szCs w:val="22"/>
        </w:rPr>
        <w:t>autorización previa de la CCHEN</w:t>
      </w:r>
      <w:r w:rsidR="005D6FBC">
        <w:rPr>
          <w:rFonts w:ascii="Arial" w:hAnsi="Arial" w:cs="Arial"/>
          <w:sz w:val="20"/>
          <w:szCs w:val="22"/>
        </w:rPr>
        <w:t>,</w:t>
      </w:r>
      <w:r w:rsidR="00D16262">
        <w:rPr>
          <w:rFonts w:ascii="Arial" w:hAnsi="Arial" w:cs="Arial"/>
          <w:sz w:val="20"/>
          <w:szCs w:val="22"/>
        </w:rPr>
        <w:t xml:space="preserve"> </w:t>
      </w:r>
      <w:r w:rsidR="003C30B5" w:rsidRPr="00276D24">
        <w:rPr>
          <w:rFonts w:ascii="Arial" w:hAnsi="Arial" w:cs="Arial"/>
          <w:sz w:val="20"/>
          <w:szCs w:val="22"/>
        </w:rPr>
        <w:t>la que se expresa mediante</w:t>
      </w:r>
      <w:r w:rsidR="005D6FBC">
        <w:rPr>
          <w:rFonts w:ascii="Arial" w:hAnsi="Arial" w:cs="Arial"/>
          <w:sz w:val="20"/>
          <w:szCs w:val="22"/>
        </w:rPr>
        <w:t xml:space="preserve"> </w:t>
      </w:r>
      <w:r w:rsidR="00A43D4B" w:rsidRPr="00276D24">
        <w:rPr>
          <w:rFonts w:ascii="Arial" w:hAnsi="Arial" w:cs="Arial"/>
          <w:sz w:val="20"/>
          <w:szCs w:val="22"/>
        </w:rPr>
        <w:t xml:space="preserve">la correspondiente </w:t>
      </w:r>
      <w:r w:rsidR="00423768">
        <w:rPr>
          <w:rFonts w:ascii="Arial" w:hAnsi="Arial" w:cs="Arial"/>
          <w:sz w:val="20"/>
          <w:szCs w:val="22"/>
        </w:rPr>
        <w:t>r</w:t>
      </w:r>
      <w:r w:rsidR="00A43D4B" w:rsidRPr="00276D24">
        <w:rPr>
          <w:rFonts w:ascii="Arial" w:hAnsi="Arial" w:cs="Arial"/>
          <w:sz w:val="20"/>
          <w:szCs w:val="22"/>
        </w:rPr>
        <w:t xml:space="preserve">esolución </w:t>
      </w:r>
      <w:r w:rsidR="00423768">
        <w:rPr>
          <w:rFonts w:ascii="Arial" w:hAnsi="Arial" w:cs="Arial"/>
          <w:sz w:val="20"/>
          <w:szCs w:val="22"/>
        </w:rPr>
        <w:t>e</w:t>
      </w:r>
      <w:r w:rsidR="00A43D4B" w:rsidRPr="00276D24">
        <w:rPr>
          <w:rFonts w:ascii="Arial" w:hAnsi="Arial" w:cs="Arial"/>
          <w:sz w:val="20"/>
          <w:szCs w:val="22"/>
        </w:rPr>
        <w:t xml:space="preserve">xenta que autorice puntualmente las </w:t>
      </w:r>
      <w:r w:rsidR="00423768">
        <w:rPr>
          <w:rFonts w:ascii="Arial" w:hAnsi="Arial" w:cs="Arial"/>
          <w:sz w:val="20"/>
          <w:szCs w:val="22"/>
        </w:rPr>
        <w:t>s</w:t>
      </w:r>
      <w:r w:rsidR="00A43D4B" w:rsidRPr="00276D24">
        <w:rPr>
          <w:rFonts w:ascii="Arial" w:hAnsi="Arial" w:cs="Arial"/>
          <w:sz w:val="20"/>
          <w:szCs w:val="22"/>
        </w:rPr>
        <w:t xml:space="preserve">olicitudes de </w:t>
      </w:r>
      <w:r w:rsidR="00423768">
        <w:rPr>
          <w:rFonts w:ascii="Arial" w:hAnsi="Arial" w:cs="Arial"/>
          <w:sz w:val="20"/>
          <w:szCs w:val="22"/>
        </w:rPr>
        <w:t>v</w:t>
      </w:r>
      <w:r w:rsidR="00A43D4B" w:rsidRPr="00276D24">
        <w:rPr>
          <w:rFonts w:ascii="Arial" w:hAnsi="Arial" w:cs="Arial"/>
          <w:sz w:val="20"/>
          <w:szCs w:val="22"/>
        </w:rPr>
        <w:t>enta que haya presentado el exportador</w:t>
      </w:r>
      <w:r w:rsidR="003C30B5" w:rsidRPr="00507FFE">
        <w:rPr>
          <w:rFonts w:ascii="Arial" w:hAnsi="Arial" w:cs="Arial"/>
          <w:sz w:val="20"/>
          <w:szCs w:val="22"/>
        </w:rPr>
        <w:t>.</w:t>
      </w:r>
      <w:r w:rsidR="00893126" w:rsidRPr="00507FFE">
        <w:rPr>
          <w:rFonts w:ascii="Arial" w:hAnsi="Arial" w:cs="Arial"/>
          <w:sz w:val="20"/>
          <w:szCs w:val="22"/>
        </w:rPr>
        <w:t xml:space="preserve"> La autorización otorgada por la CCHEN constituye documento de base para la emisión de la DUS (AT) y deberá ser archivada en la carpeta de despacho de la operación.</w:t>
      </w:r>
      <w:r w:rsidR="003C30B5" w:rsidRPr="00507FFE">
        <w:rPr>
          <w:rFonts w:ascii="Arial" w:hAnsi="Arial" w:cs="Arial"/>
          <w:sz w:val="20"/>
          <w:szCs w:val="22"/>
        </w:rPr>
        <w:t>”</w:t>
      </w:r>
    </w:p>
    <w:p w:rsidR="005D6FBC" w:rsidRDefault="005D6FBC" w:rsidP="005D6FBC">
      <w:pPr>
        <w:pStyle w:val="NormalWeb"/>
        <w:tabs>
          <w:tab w:val="left" w:pos="0"/>
        </w:tabs>
        <w:spacing w:before="0" w:beforeAutospacing="0" w:after="0" w:afterAutospacing="0"/>
        <w:ind w:left="1788"/>
        <w:jc w:val="both"/>
        <w:rPr>
          <w:rFonts w:ascii="Arial" w:hAnsi="Arial" w:cs="Arial"/>
          <w:b/>
          <w:color w:val="000000" w:themeColor="text1"/>
          <w:sz w:val="20"/>
          <w:lang w:eastAsia="es-ES_tradnl"/>
        </w:rPr>
      </w:pPr>
    </w:p>
    <w:p w:rsidR="00184C64" w:rsidRPr="00276D24" w:rsidRDefault="00184C64" w:rsidP="005D6FBC">
      <w:pPr>
        <w:pStyle w:val="NormalWeb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276D24">
        <w:rPr>
          <w:rFonts w:ascii="Arial" w:hAnsi="Arial" w:cs="Arial"/>
          <w:b/>
          <w:color w:val="000000" w:themeColor="text1"/>
          <w:sz w:val="20"/>
          <w:lang w:eastAsia="es-ES_tradnl"/>
        </w:rPr>
        <w:t>AGREGASE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, en el Anexo 40,</w:t>
      </w:r>
      <w:r w:rsidR="00893126">
        <w:rPr>
          <w:rFonts w:ascii="Arial" w:hAnsi="Arial" w:cs="Arial"/>
          <w:color w:val="000000" w:themeColor="text1"/>
          <w:sz w:val="20"/>
          <w:lang w:eastAsia="es-ES_tradnl"/>
        </w:rPr>
        <w:t xml:space="preserve"> </w:t>
      </w:r>
      <w:r w:rsidR="008671E0"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para aquellos que corresponden a la Comisión Chilena de Energía Nuclear, y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a continuación del punto, lo siguiente:</w:t>
      </w:r>
    </w:p>
    <w:p w:rsidR="00184C64" w:rsidRPr="00276D24" w:rsidRDefault="00184C64" w:rsidP="00184C64">
      <w:pPr>
        <w:pStyle w:val="NormalWeb"/>
        <w:tabs>
          <w:tab w:val="left" w:pos="0"/>
        </w:tabs>
        <w:spacing w:before="0" w:beforeAutospacing="0" w:after="0" w:afterAutospacing="0"/>
        <w:ind w:left="108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</w:p>
    <w:p w:rsidR="00184C64" w:rsidRPr="00276D24" w:rsidRDefault="00184C64" w:rsidP="00893126">
      <w:pPr>
        <w:pStyle w:val="NormalWeb"/>
        <w:tabs>
          <w:tab w:val="left" w:pos="0"/>
        </w:tabs>
        <w:spacing w:before="0" w:beforeAutospacing="0" w:after="0" w:afterAutospacing="0"/>
        <w:ind w:left="1416"/>
        <w:jc w:val="both"/>
        <w:rPr>
          <w:rFonts w:ascii="Arial" w:hAnsi="Arial" w:cs="Arial"/>
          <w:sz w:val="20"/>
          <w:szCs w:val="22"/>
        </w:rPr>
      </w:pP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“</w:t>
      </w:r>
      <w:r w:rsidRPr="00276D24">
        <w:rPr>
          <w:rFonts w:ascii="Arial" w:hAnsi="Arial" w:cs="Arial"/>
          <w:sz w:val="20"/>
        </w:rPr>
        <w:t>LOS MATERIALES ATÓMICOS NATURALES Y EL LITIO, EXTRAÍDOS Y LOS CONCENTRADOS, DERIVADOS O COMPUESTOS DE AQUELLOS Y ESTE”.</w:t>
      </w:r>
    </w:p>
    <w:p w:rsidR="001D5D23" w:rsidRDefault="001D5D23" w:rsidP="00FA1775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:rsidR="00893126" w:rsidRDefault="00893126" w:rsidP="00FA1775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:rsidR="000A2A10" w:rsidRPr="00893126" w:rsidRDefault="007126BF" w:rsidP="00893126">
      <w:pPr>
        <w:pStyle w:val="NormalWeb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893126">
        <w:rPr>
          <w:rFonts w:ascii="Arial" w:hAnsi="Arial" w:cs="Arial"/>
          <w:sz w:val="20"/>
          <w:szCs w:val="22"/>
        </w:rPr>
        <w:t>Conforme al Anexo 35</w:t>
      </w:r>
      <w:r w:rsidR="00D16262" w:rsidRPr="00893126">
        <w:rPr>
          <w:rFonts w:ascii="Arial" w:hAnsi="Arial" w:cs="Arial"/>
          <w:sz w:val="20"/>
          <w:szCs w:val="22"/>
        </w:rPr>
        <w:t>,</w:t>
      </w:r>
      <w:r w:rsidRPr="00893126">
        <w:rPr>
          <w:rFonts w:ascii="Arial" w:hAnsi="Arial" w:cs="Arial"/>
          <w:sz w:val="20"/>
          <w:szCs w:val="22"/>
        </w:rPr>
        <w:t xml:space="preserve"> acerca de las instrucciones de llenado</w:t>
      </w:r>
      <w:r w:rsidR="003B7F1B" w:rsidRPr="00893126">
        <w:rPr>
          <w:rFonts w:ascii="Arial" w:hAnsi="Arial" w:cs="Arial"/>
          <w:sz w:val="20"/>
          <w:szCs w:val="22"/>
        </w:rPr>
        <w:t xml:space="preserve"> del DUS</w:t>
      </w:r>
      <w:r w:rsidRPr="00893126">
        <w:rPr>
          <w:rFonts w:ascii="Arial" w:hAnsi="Arial" w:cs="Arial"/>
          <w:sz w:val="20"/>
          <w:szCs w:val="22"/>
        </w:rPr>
        <w:t>, para el caso de</w:t>
      </w:r>
      <w:r w:rsidR="00893126" w:rsidRPr="00893126">
        <w:rPr>
          <w:rFonts w:ascii="Arial" w:hAnsi="Arial" w:cs="Arial"/>
          <w:sz w:val="20"/>
          <w:szCs w:val="22"/>
        </w:rPr>
        <w:t xml:space="preserve"> </w:t>
      </w:r>
      <w:r w:rsidRPr="00893126">
        <w:rPr>
          <w:rFonts w:ascii="Arial" w:hAnsi="Arial" w:cs="Arial"/>
          <w:sz w:val="20"/>
          <w:szCs w:val="22"/>
        </w:rPr>
        <w:t>las exportaciones litio s</w:t>
      </w:r>
      <w:r w:rsidR="001D5D23" w:rsidRPr="00893126">
        <w:rPr>
          <w:rFonts w:ascii="Arial" w:hAnsi="Arial" w:cs="Arial"/>
          <w:sz w:val="20"/>
          <w:szCs w:val="22"/>
        </w:rPr>
        <w:t>e deberá consignar en el DUS</w:t>
      </w:r>
      <w:r w:rsidR="00844F69" w:rsidRPr="00893126">
        <w:rPr>
          <w:rFonts w:ascii="Arial" w:hAnsi="Arial" w:cs="Arial"/>
          <w:sz w:val="20"/>
          <w:szCs w:val="22"/>
        </w:rPr>
        <w:t>(</w:t>
      </w:r>
      <w:r w:rsidR="001D5D23" w:rsidRPr="00893126">
        <w:rPr>
          <w:rFonts w:ascii="Arial" w:hAnsi="Arial" w:cs="Arial"/>
          <w:sz w:val="20"/>
          <w:szCs w:val="22"/>
        </w:rPr>
        <w:t>AT</w:t>
      </w:r>
      <w:r w:rsidR="00844F69" w:rsidRPr="00893126">
        <w:rPr>
          <w:rFonts w:ascii="Arial" w:hAnsi="Arial" w:cs="Arial"/>
          <w:sz w:val="20"/>
          <w:szCs w:val="22"/>
        </w:rPr>
        <w:t>)</w:t>
      </w:r>
      <w:r w:rsidR="008671E0" w:rsidRPr="00893126">
        <w:rPr>
          <w:rFonts w:ascii="Arial" w:hAnsi="Arial" w:cs="Arial"/>
          <w:sz w:val="20"/>
          <w:szCs w:val="22"/>
        </w:rPr>
        <w:t xml:space="preserve"> primer mensaje</w:t>
      </w:r>
      <w:r w:rsidR="001D5D23" w:rsidRPr="00893126">
        <w:rPr>
          <w:rFonts w:ascii="Arial" w:hAnsi="Arial" w:cs="Arial"/>
          <w:sz w:val="20"/>
          <w:szCs w:val="22"/>
        </w:rPr>
        <w:t>,</w:t>
      </w:r>
      <w:r w:rsidR="00A32CED" w:rsidRPr="00893126">
        <w:rPr>
          <w:rFonts w:ascii="Arial" w:hAnsi="Arial" w:cs="Arial"/>
          <w:sz w:val="20"/>
          <w:szCs w:val="22"/>
        </w:rPr>
        <w:t xml:space="preserve"> en </w:t>
      </w:r>
      <w:r w:rsidR="008671E0" w:rsidRPr="00893126">
        <w:rPr>
          <w:rFonts w:ascii="Arial" w:hAnsi="Arial" w:cs="Arial"/>
          <w:sz w:val="20"/>
          <w:szCs w:val="22"/>
        </w:rPr>
        <w:t>los</w:t>
      </w:r>
      <w:r w:rsidR="00893126" w:rsidRPr="00893126">
        <w:rPr>
          <w:rFonts w:ascii="Arial" w:hAnsi="Arial" w:cs="Arial"/>
          <w:sz w:val="20"/>
          <w:szCs w:val="22"/>
        </w:rPr>
        <w:t xml:space="preserve"> </w:t>
      </w:r>
      <w:r w:rsidR="008671E0" w:rsidRPr="00893126">
        <w:rPr>
          <w:rFonts w:ascii="Arial" w:hAnsi="Arial" w:cs="Arial"/>
          <w:sz w:val="20"/>
          <w:szCs w:val="22"/>
        </w:rPr>
        <w:t>recuadros</w:t>
      </w:r>
      <w:r w:rsidR="00893126">
        <w:rPr>
          <w:rFonts w:ascii="Arial" w:hAnsi="Arial" w:cs="Arial"/>
          <w:sz w:val="20"/>
          <w:szCs w:val="22"/>
        </w:rPr>
        <w:t xml:space="preserve"> c</w:t>
      </w:r>
      <w:r w:rsidR="008671E0" w:rsidRPr="00893126">
        <w:rPr>
          <w:rFonts w:ascii="Arial" w:hAnsi="Arial" w:cs="Arial"/>
          <w:sz w:val="20"/>
          <w:szCs w:val="22"/>
        </w:rPr>
        <w:t xml:space="preserve">orrespondientes a </w:t>
      </w:r>
      <w:r w:rsidR="000A2A10" w:rsidRPr="00893126">
        <w:rPr>
          <w:rFonts w:ascii="Arial" w:hAnsi="Arial" w:cs="Arial"/>
          <w:sz w:val="20"/>
          <w:szCs w:val="22"/>
        </w:rPr>
        <w:t>“</w:t>
      </w:r>
      <w:r w:rsidR="008671E0" w:rsidRPr="00893126">
        <w:rPr>
          <w:rFonts w:ascii="Arial" w:hAnsi="Arial" w:cs="Arial"/>
          <w:sz w:val="20"/>
          <w:szCs w:val="22"/>
        </w:rPr>
        <w:t>Vis</w:t>
      </w:r>
      <w:r w:rsidR="000A2A10" w:rsidRPr="00893126">
        <w:rPr>
          <w:rFonts w:ascii="Arial" w:hAnsi="Arial" w:cs="Arial"/>
          <w:sz w:val="20"/>
          <w:szCs w:val="22"/>
        </w:rPr>
        <w:t>tos Buenos”</w:t>
      </w:r>
      <w:r w:rsidR="00276D24" w:rsidRPr="00893126">
        <w:rPr>
          <w:rFonts w:ascii="Arial" w:hAnsi="Arial" w:cs="Arial"/>
          <w:sz w:val="20"/>
          <w:szCs w:val="22"/>
        </w:rPr>
        <w:t>,</w:t>
      </w:r>
      <w:r w:rsidR="003B7F1B" w:rsidRPr="00893126">
        <w:rPr>
          <w:rFonts w:ascii="Arial" w:hAnsi="Arial" w:cs="Arial"/>
          <w:sz w:val="20"/>
          <w:szCs w:val="22"/>
        </w:rPr>
        <w:t xml:space="preserve"> la información de acuerdo a la siguiente</w:t>
      </w:r>
      <w:r w:rsidR="00893126" w:rsidRPr="00893126">
        <w:rPr>
          <w:rFonts w:ascii="Arial" w:hAnsi="Arial" w:cs="Arial"/>
          <w:sz w:val="20"/>
          <w:szCs w:val="22"/>
        </w:rPr>
        <w:t xml:space="preserve"> </w:t>
      </w:r>
      <w:r w:rsidR="003B7F1B" w:rsidRPr="00893126">
        <w:rPr>
          <w:rFonts w:ascii="Arial" w:hAnsi="Arial" w:cs="Arial"/>
          <w:sz w:val="20"/>
          <w:szCs w:val="22"/>
        </w:rPr>
        <w:t>descripción:</w:t>
      </w:r>
    </w:p>
    <w:p w:rsidR="003B7F1B" w:rsidRPr="003B7F1B" w:rsidRDefault="003B7F1B" w:rsidP="003B7F1B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:rsidR="000A2A10" w:rsidRDefault="000A2A10" w:rsidP="00893126">
      <w:pPr>
        <w:pStyle w:val="NormalWeb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 xml:space="preserve">Código VºBº: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Señale el código del tipo de VºBº o autorización, según Anexo Nº 51-38. En este caso</w:t>
      </w:r>
      <w:r w:rsidR="00507FFE">
        <w:rPr>
          <w:rFonts w:ascii="Arial" w:hAnsi="Arial" w:cs="Arial"/>
          <w:color w:val="000000" w:themeColor="text1"/>
          <w:sz w:val="20"/>
          <w:lang w:eastAsia="es-ES_tradnl"/>
        </w:rPr>
        <w:t xml:space="preserve"> </w:t>
      </w:r>
      <w:r w:rsid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corresponderá al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Código 11.</w:t>
      </w:r>
    </w:p>
    <w:p w:rsidR="00276D24" w:rsidRPr="00276D24" w:rsidRDefault="00276D24" w:rsidP="00893126">
      <w:pPr>
        <w:pStyle w:val="NormalWeb"/>
        <w:tabs>
          <w:tab w:val="left" w:pos="0"/>
        </w:tabs>
        <w:spacing w:before="0" w:beforeAutospacing="0" w:after="0" w:afterAutospacing="0"/>
        <w:ind w:left="108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</w:p>
    <w:p w:rsidR="000A2A10" w:rsidRDefault="000A2A10" w:rsidP="00893126">
      <w:pPr>
        <w:pStyle w:val="NormalWeb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 xml:space="preserve">Nº Resolución o Certificado: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Indique el número de la </w:t>
      </w:r>
      <w:r w:rsidR="00423768">
        <w:rPr>
          <w:rFonts w:ascii="Arial" w:hAnsi="Arial" w:cs="Arial"/>
          <w:color w:val="000000" w:themeColor="text1"/>
          <w:sz w:val="20"/>
          <w:lang w:eastAsia="es-ES_tradnl"/>
        </w:rPr>
        <w:t>r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esolución correspondiente</w:t>
      </w:r>
      <w:r w:rsidR="0094588D"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otorgad</w:t>
      </w:r>
      <w:r w:rsidR="005D6FBC">
        <w:rPr>
          <w:rFonts w:ascii="Arial" w:hAnsi="Arial" w:cs="Arial"/>
          <w:color w:val="000000" w:themeColor="text1"/>
          <w:sz w:val="20"/>
          <w:lang w:eastAsia="es-ES_tradnl"/>
        </w:rPr>
        <w:t>a</w:t>
      </w:r>
      <w:r w:rsidR="0094588D"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por </w:t>
      </w:r>
      <w:r w:rsidR="00340555">
        <w:rPr>
          <w:rFonts w:ascii="Arial" w:hAnsi="Arial" w:cs="Arial"/>
          <w:color w:val="000000" w:themeColor="text1"/>
          <w:sz w:val="20"/>
          <w:lang w:eastAsia="es-ES_tradnl"/>
        </w:rPr>
        <w:t xml:space="preserve">la </w:t>
      </w:r>
      <w:r w:rsidR="0094588D" w:rsidRPr="00276D24">
        <w:rPr>
          <w:rFonts w:ascii="Arial" w:hAnsi="Arial" w:cs="Arial"/>
          <w:color w:val="000000" w:themeColor="text1"/>
          <w:sz w:val="20"/>
          <w:lang w:eastAsia="es-ES_tradnl"/>
        </w:rPr>
        <w:t>CCHEN</w:t>
      </w:r>
      <w:r w:rsidR="00D16262">
        <w:rPr>
          <w:rFonts w:ascii="Arial" w:hAnsi="Arial" w:cs="Arial"/>
          <w:color w:val="000000" w:themeColor="text1"/>
          <w:sz w:val="20"/>
          <w:lang w:eastAsia="es-ES_tradnl"/>
        </w:rPr>
        <w:t xml:space="preserve">, </w:t>
      </w:r>
      <w:r w:rsidR="00453DA0">
        <w:rPr>
          <w:rFonts w:ascii="Arial" w:hAnsi="Arial" w:cs="Arial"/>
          <w:color w:val="000000" w:themeColor="text1"/>
          <w:sz w:val="20"/>
          <w:lang w:eastAsia="es-ES_tradnl"/>
        </w:rPr>
        <w:t xml:space="preserve">que </w:t>
      </w:r>
      <w:r w:rsidR="00453DA0" w:rsidRPr="00276D24">
        <w:rPr>
          <w:rFonts w:ascii="Arial" w:hAnsi="Arial" w:cs="Arial"/>
          <w:sz w:val="20"/>
          <w:szCs w:val="22"/>
        </w:rPr>
        <w:t xml:space="preserve">autoriza para </w:t>
      </w:r>
      <w:r w:rsidR="00453DA0" w:rsidRPr="00AA3880">
        <w:rPr>
          <w:rFonts w:ascii="Arial" w:hAnsi="Arial" w:cs="Arial"/>
          <w:sz w:val="20"/>
          <w:szCs w:val="22"/>
        </w:rPr>
        <w:t>exportar</w:t>
      </w:r>
      <w:r w:rsidR="00C4465C">
        <w:rPr>
          <w:rFonts w:ascii="Arial" w:hAnsi="Arial" w:cs="Arial"/>
          <w:sz w:val="20"/>
          <w:szCs w:val="22"/>
        </w:rPr>
        <w:t xml:space="preserve"> </w:t>
      </w:r>
      <w:r w:rsidR="00453DA0" w:rsidRPr="00276D24">
        <w:rPr>
          <w:rFonts w:ascii="Arial" w:hAnsi="Arial" w:cs="Arial"/>
          <w:sz w:val="20"/>
          <w:szCs w:val="22"/>
        </w:rPr>
        <w:t xml:space="preserve">cualquier producto de </w:t>
      </w:r>
      <w:r w:rsidR="00453DA0">
        <w:rPr>
          <w:rFonts w:ascii="Arial" w:hAnsi="Arial" w:cs="Arial"/>
          <w:sz w:val="20"/>
          <w:szCs w:val="22"/>
        </w:rPr>
        <w:t>l</w:t>
      </w:r>
      <w:r w:rsidR="00453DA0" w:rsidRPr="00276D24">
        <w:rPr>
          <w:rFonts w:ascii="Arial" w:hAnsi="Arial" w:cs="Arial"/>
          <w:sz w:val="20"/>
          <w:szCs w:val="22"/>
        </w:rPr>
        <w:t>itio o sus derivados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.</w:t>
      </w:r>
    </w:p>
    <w:p w:rsidR="00276D24" w:rsidRDefault="00276D24" w:rsidP="00893126">
      <w:pPr>
        <w:pStyle w:val="Prrafodelista"/>
        <w:rPr>
          <w:rFonts w:ascii="Arial" w:hAnsi="Arial" w:cs="Arial"/>
          <w:color w:val="000000" w:themeColor="text1"/>
          <w:sz w:val="20"/>
          <w:lang w:eastAsia="es-ES_tradnl"/>
        </w:rPr>
      </w:pPr>
    </w:p>
    <w:p w:rsidR="000A2A10" w:rsidRDefault="000A2A10" w:rsidP="00893126">
      <w:pPr>
        <w:pStyle w:val="NormalWeb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 xml:space="preserve">Fecha de la Resolución o Certificado: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Indique la fecha de emisión de la </w:t>
      </w:r>
      <w:r w:rsidR="00423768">
        <w:rPr>
          <w:rFonts w:ascii="Arial" w:hAnsi="Arial" w:cs="Arial"/>
          <w:color w:val="000000" w:themeColor="text1"/>
          <w:sz w:val="20"/>
          <w:lang w:eastAsia="es-ES_tradnl"/>
        </w:rPr>
        <w:t>r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esolución </w:t>
      </w:r>
      <w:r w:rsidR="00453DA0" w:rsidRPr="00276D24">
        <w:rPr>
          <w:rFonts w:ascii="Arial" w:hAnsi="Arial" w:cs="Arial"/>
          <w:color w:val="000000" w:themeColor="text1"/>
          <w:sz w:val="20"/>
          <w:lang w:eastAsia="es-ES_tradnl"/>
        </w:rPr>
        <w:t>otorgad</w:t>
      </w:r>
      <w:r w:rsidR="005D6FBC">
        <w:rPr>
          <w:rFonts w:ascii="Arial" w:hAnsi="Arial" w:cs="Arial"/>
          <w:color w:val="000000" w:themeColor="text1"/>
          <w:sz w:val="20"/>
          <w:lang w:eastAsia="es-ES_tradnl"/>
        </w:rPr>
        <w:t>a</w:t>
      </w:r>
      <w:r w:rsidR="00453DA0"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por </w:t>
      </w:r>
      <w:r w:rsidR="00340555">
        <w:rPr>
          <w:rFonts w:ascii="Arial" w:hAnsi="Arial" w:cs="Arial"/>
          <w:color w:val="000000" w:themeColor="text1"/>
          <w:sz w:val="20"/>
          <w:lang w:eastAsia="es-ES_tradnl"/>
        </w:rPr>
        <w:t xml:space="preserve">la </w:t>
      </w:r>
      <w:r w:rsidR="00453DA0" w:rsidRPr="00276D24">
        <w:rPr>
          <w:rFonts w:ascii="Arial" w:hAnsi="Arial" w:cs="Arial"/>
          <w:color w:val="000000" w:themeColor="text1"/>
          <w:sz w:val="20"/>
          <w:lang w:eastAsia="es-ES_tradnl"/>
        </w:rPr>
        <w:t>CCHEN</w:t>
      </w:r>
      <w:r w:rsidR="00D16262">
        <w:rPr>
          <w:rFonts w:ascii="Arial" w:hAnsi="Arial" w:cs="Arial"/>
          <w:color w:val="000000" w:themeColor="text1"/>
          <w:sz w:val="20"/>
          <w:lang w:eastAsia="es-ES_tradnl"/>
        </w:rPr>
        <w:t xml:space="preserve">, </w:t>
      </w:r>
      <w:r w:rsidR="00453DA0">
        <w:rPr>
          <w:rFonts w:ascii="Arial" w:hAnsi="Arial" w:cs="Arial"/>
          <w:color w:val="000000" w:themeColor="text1"/>
          <w:sz w:val="20"/>
          <w:lang w:eastAsia="es-ES_tradnl"/>
        </w:rPr>
        <w:t xml:space="preserve">que </w:t>
      </w:r>
      <w:r w:rsidR="00453DA0" w:rsidRPr="00276D24">
        <w:rPr>
          <w:rFonts w:ascii="Arial" w:hAnsi="Arial" w:cs="Arial"/>
          <w:sz w:val="20"/>
          <w:szCs w:val="22"/>
        </w:rPr>
        <w:t xml:space="preserve">autoriza para </w:t>
      </w:r>
      <w:r w:rsidR="00453DA0" w:rsidRPr="00AA3880">
        <w:rPr>
          <w:rFonts w:ascii="Arial" w:hAnsi="Arial" w:cs="Arial"/>
          <w:sz w:val="20"/>
          <w:szCs w:val="22"/>
        </w:rPr>
        <w:t>exportar</w:t>
      </w:r>
      <w:r w:rsidR="00453DA0" w:rsidRPr="00276D24">
        <w:rPr>
          <w:rFonts w:ascii="Arial" w:hAnsi="Arial" w:cs="Arial"/>
          <w:sz w:val="20"/>
          <w:szCs w:val="22"/>
        </w:rPr>
        <w:t xml:space="preserve"> cualquier producto de </w:t>
      </w:r>
      <w:r w:rsidR="00453DA0">
        <w:rPr>
          <w:rFonts w:ascii="Arial" w:hAnsi="Arial" w:cs="Arial"/>
          <w:sz w:val="20"/>
          <w:szCs w:val="22"/>
        </w:rPr>
        <w:t>l</w:t>
      </w:r>
      <w:r w:rsidR="00453DA0" w:rsidRPr="00276D24">
        <w:rPr>
          <w:rFonts w:ascii="Arial" w:hAnsi="Arial" w:cs="Arial"/>
          <w:sz w:val="20"/>
          <w:szCs w:val="22"/>
        </w:rPr>
        <w:t>itio o sus derivados</w:t>
      </w:r>
      <w:r w:rsidR="00453DA0" w:rsidRPr="00276D24">
        <w:rPr>
          <w:rFonts w:ascii="Arial" w:hAnsi="Arial" w:cs="Arial"/>
          <w:color w:val="000000" w:themeColor="text1"/>
          <w:sz w:val="20"/>
          <w:lang w:eastAsia="es-ES_tradnl"/>
        </w:rPr>
        <w:t>.</w:t>
      </w:r>
    </w:p>
    <w:p w:rsidR="00276D24" w:rsidRPr="00276D24" w:rsidRDefault="00276D24" w:rsidP="00893126">
      <w:pPr>
        <w:pStyle w:val="NormalWeb"/>
        <w:tabs>
          <w:tab w:val="left" w:pos="0"/>
        </w:tabs>
        <w:spacing w:before="0" w:beforeAutospacing="0" w:after="0" w:afterAutospacing="0"/>
        <w:ind w:left="108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</w:p>
    <w:p w:rsidR="000A2A10" w:rsidRPr="00276D24" w:rsidRDefault="000A2A10" w:rsidP="00893126">
      <w:pPr>
        <w:pStyle w:val="NormalWeb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jc w:val="both"/>
      </w:pPr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 xml:space="preserve">Organismo: </w:t>
      </w:r>
      <w:r w:rsidRPr="00276D24">
        <w:rPr>
          <w:rFonts w:ascii="Arial" w:hAnsi="Arial" w:cs="Arial"/>
          <w:sz w:val="20"/>
          <w:szCs w:val="22"/>
        </w:rPr>
        <w:t>Señale, según Anexo Nº 51-38, el nombre del organismo que otorga el VºBº.</w:t>
      </w:r>
      <w:r w:rsidR="00453DA0">
        <w:rPr>
          <w:rFonts w:ascii="Arial" w:hAnsi="Arial" w:cs="Arial"/>
          <w:sz w:val="20"/>
          <w:szCs w:val="22"/>
        </w:rPr>
        <w:t xml:space="preserve"> En este caso, </w:t>
      </w:r>
      <w:r w:rsidR="00D16262">
        <w:rPr>
          <w:rFonts w:ascii="Arial" w:hAnsi="Arial" w:cs="Arial"/>
          <w:sz w:val="20"/>
          <w:szCs w:val="22"/>
        </w:rPr>
        <w:t>CCHEN.</w:t>
      </w:r>
    </w:p>
    <w:p w:rsidR="00C4465C" w:rsidRDefault="00C4465C">
      <w:pPr>
        <w:rPr>
          <w:rFonts w:ascii="Times New Roman" w:hAnsi="Times New Roman"/>
          <w:sz w:val="24"/>
          <w:szCs w:val="24"/>
          <w:lang w:val="es-CL" w:eastAsia="es-CL"/>
        </w:rPr>
      </w:pPr>
      <w:r>
        <w:br w:type="page"/>
      </w:r>
    </w:p>
    <w:p w:rsidR="0094588D" w:rsidRDefault="0094588D" w:rsidP="0094588D">
      <w:pPr>
        <w:pStyle w:val="NormalWeb"/>
        <w:tabs>
          <w:tab w:val="left" w:pos="0"/>
        </w:tabs>
        <w:spacing w:before="0" w:beforeAutospacing="0" w:after="0" w:afterAutospacing="0"/>
        <w:ind w:left="1080"/>
        <w:jc w:val="both"/>
      </w:pPr>
    </w:p>
    <w:p w:rsidR="00893126" w:rsidRPr="00507FFE" w:rsidRDefault="00340555" w:rsidP="00893126">
      <w:pPr>
        <w:pStyle w:val="NormalWeb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  <w:lang w:val="es-ES" w:eastAsia="es-ES_tradnl"/>
        </w:rPr>
      </w:pPr>
      <w:r w:rsidRPr="00507FFE">
        <w:rPr>
          <w:rFonts w:ascii="Arial" w:hAnsi="Arial" w:cs="Arial"/>
          <w:b/>
          <w:sz w:val="20"/>
          <w:szCs w:val="22"/>
        </w:rPr>
        <w:t xml:space="preserve">El hecho de no consignar en el DUS (AT) o primer mensaje </w:t>
      </w:r>
      <w:r w:rsidR="008C22F1" w:rsidRPr="00507FFE">
        <w:rPr>
          <w:rFonts w:ascii="Arial" w:hAnsi="Arial" w:cs="Arial"/>
          <w:b/>
          <w:sz w:val="20"/>
          <w:szCs w:val="22"/>
        </w:rPr>
        <w:t xml:space="preserve">la información señalada en el numeral anterior, </w:t>
      </w:r>
      <w:r w:rsidR="00276D24" w:rsidRPr="00507FFE">
        <w:rPr>
          <w:rFonts w:ascii="Arial" w:hAnsi="Arial" w:cs="Arial"/>
          <w:b/>
          <w:sz w:val="20"/>
          <w:szCs w:val="22"/>
        </w:rPr>
        <w:t xml:space="preserve">facultará al Servicio Nacional de Aduanas </w:t>
      </w:r>
      <w:r w:rsidR="00507FFE">
        <w:rPr>
          <w:rFonts w:ascii="Arial" w:hAnsi="Arial" w:cs="Arial"/>
          <w:b/>
          <w:sz w:val="20"/>
          <w:szCs w:val="22"/>
        </w:rPr>
        <w:t xml:space="preserve">para rechazar el DUS-Primer Mensaje, no </w:t>
      </w:r>
      <w:r w:rsidR="003A0CB5">
        <w:rPr>
          <w:rFonts w:ascii="Arial" w:hAnsi="Arial" w:cs="Arial"/>
          <w:b/>
          <w:sz w:val="20"/>
          <w:szCs w:val="22"/>
        </w:rPr>
        <w:t>aceptándose</w:t>
      </w:r>
      <w:r w:rsidR="00507FFE">
        <w:rPr>
          <w:rFonts w:ascii="Arial" w:hAnsi="Arial" w:cs="Arial"/>
          <w:b/>
          <w:sz w:val="20"/>
          <w:szCs w:val="22"/>
        </w:rPr>
        <w:t xml:space="preserve"> a trámite la </w:t>
      </w:r>
      <w:r w:rsidR="003A0CB5">
        <w:rPr>
          <w:rFonts w:ascii="Arial" w:hAnsi="Arial" w:cs="Arial"/>
          <w:b/>
          <w:sz w:val="20"/>
          <w:szCs w:val="22"/>
        </w:rPr>
        <w:t>declaración</w:t>
      </w:r>
      <w:r w:rsidR="00507FFE">
        <w:rPr>
          <w:rFonts w:ascii="Arial" w:hAnsi="Arial" w:cs="Arial"/>
          <w:b/>
          <w:sz w:val="20"/>
          <w:szCs w:val="22"/>
        </w:rPr>
        <w:t>.</w:t>
      </w:r>
    </w:p>
    <w:p w:rsidR="00C4465C" w:rsidRPr="00893126" w:rsidRDefault="00C4465C" w:rsidP="00893126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  <w:lang w:val="es-ES" w:eastAsia="es-ES_tradnl"/>
        </w:rPr>
      </w:pPr>
    </w:p>
    <w:p w:rsidR="00FA1775" w:rsidRPr="00893126" w:rsidRDefault="00FA1775" w:rsidP="00D16262">
      <w:pPr>
        <w:pStyle w:val="NormalWeb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  <w:lang w:val="es-ES" w:eastAsia="es-ES_tradnl"/>
        </w:rPr>
      </w:pPr>
      <w:r w:rsidRPr="00893126">
        <w:rPr>
          <w:rFonts w:ascii="Arial" w:hAnsi="Arial" w:cs="Arial"/>
          <w:sz w:val="20"/>
          <w:szCs w:val="22"/>
          <w:lang w:val="es-ES" w:eastAsia="es-ES_tradnl"/>
        </w:rPr>
        <w:t xml:space="preserve">La presente </w:t>
      </w:r>
      <w:r w:rsidR="00423768" w:rsidRPr="00893126">
        <w:rPr>
          <w:rFonts w:ascii="Arial" w:hAnsi="Arial" w:cs="Arial"/>
          <w:sz w:val="20"/>
          <w:szCs w:val="22"/>
          <w:lang w:val="es-ES" w:eastAsia="es-ES_tradnl"/>
        </w:rPr>
        <w:t>r</w:t>
      </w:r>
      <w:r w:rsidRPr="00893126">
        <w:rPr>
          <w:rFonts w:ascii="Arial" w:hAnsi="Arial" w:cs="Arial"/>
          <w:sz w:val="20"/>
          <w:szCs w:val="22"/>
          <w:lang w:val="es-ES" w:eastAsia="es-ES_tradnl"/>
        </w:rPr>
        <w:t>esolución entrará en vigencia a partir de la fecha de publicación en el Diario</w:t>
      </w:r>
      <w:r w:rsidR="00893126">
        <w:rPr>
          <w:rFonts w:ascii="Arial" w:hAnsi="Arial" w:cs="Arial"/>
          <w:sz w:val="20"/>
          <w:szCs w:val="22"/>
          <w:lang w:val="es-ES" w:eastAsia="es-ES_tradnl"/>
        </w:rPr>
        <w:t xml:space="preserve"> </w:t>
      </w:r>
      <w:r w:rsidRPr="00893126">
        <w:rPr>
          <w:rFonts w:ascii="Arial" w:hAnsi="Arial" w:cs="Arial"/>
          <w:sz w:val="20"/>
          <w:szCs w:val="22"/>
          <w:lang w:val="es-ES" w:eastAsia="es-ES_tradnl"/>
        </w:rPr>
        <w:t xml:space="preserve"> Oficial.</w:t>
      </w:r>
    </w:p>
    <w:p w:rsidR="00FA1775" w:rsidRDefault="00FA1775" w:rsidP="00D16262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0"/>
        </w:rPr>
      </w:pPr>
    </w:p>
    <w:p w:rsidR="00FA1775" w:rsidRPr="00893126" w:rsidRDefault="00FA1775" w:rsidP="00D16262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lang w:eastAsia="es-ES_tradnl"/>
        </w:rPr>
      </w:pPr>
      <w:r w:rsidRPr="00893126">
        <w:rPr>
          <w:rFonts w:ascii="Arial" w:hAnsi="Arial" w:cs="Arial"/>
          <w:sz w:val="20"/>
          <w:lang w:eastAsia="es-ES_tradnl"/>
        </w:rPr>
        <w:t>Como consecuencia de lo anterior, sustitúyase la hoja N° IV-</w:t>
      </w:r>
      <w:r w:rsidR="00423768" w:rsidRPr="00893126">
        <w:rPr>
          <w:rFonts w:ascii="Arial" w:hAnsi="Arial" w:cs="Arial"/>
          <w:sz w:val="20"/>
          <w:lang w:eastAsia="es-ES_tradnl"/>
        </w:rPr>
        <w:t>4, IV-7 y IV-7-A</w:t>
      </w:r>
      <w:r w:rsidRPr="00893126">
        <w:rPr>
          <w:rFonts w:ascii="Arial" w:hAnsi="Arial" w:cs="Arial"/>
          <w:sz w:val="20"/>
          <w:lang w:eastAsia="es-ES_tradnl"/>
        </w:rPr>
        <w:t xml:space="preserve"> del Capítulo IV del Compendio de Normas, por la que se adjunta a la presente resolución.</w:t>
      </w:r>
    </w:p>
    <w:p w:rsidR="00563ABE" w:rsidRPr="00276D24" w:rsidRDefault="00563ABE" w:rsidP="00953379">
      <w:pPr>
        <w:pStyle w:val="Prrafodelista"/>
        <w:ind w:left="0"/>
        <w:jc w:val="both"/>
        <w:rPr>
          <w:rFonts w:ascii="Arial" w:hAnsi="Arial" w:cs="Arial"/>
          <w:sz w:val="20"/>
          <w:lang w:eastAsia="es-ES_tradnl"/>
        </w:rPr>
      </w:pPr>
    </w:p>
    <w:p w:rsidR="00563ABE" w:rsidRPr="00276D24" w:rsidRDefault="00563ABE" w:rsidP="00953379">
      <w:pPr>
        <w:pStyle w:val="Prrafodelista"/>
        <w:ind w:left="0"/>
        <w:jc w:val="both"/>
        <w:rPr>
          <w:rFonts w:ascii="Arial" w:hAnsi="Arial" w:cs="Arial"/>
          <w:sz w:val="20"/>
          <w:lang w:eastAsia="es-ES_tradnl"/>
        </w:rPr>
      </w:pPr>
    </w:p>
    <w:p w:rsidR="00563ABE" w:rsidRPr="00276D24" w:rsidRDefault="00563ABE" w:rsidP="00953379">
      <w:pPr>
        <w:pStyle w:val="Prrafodelista"/>
        <w:ind w:left="0"/>
        <w:jc w:val="both"/>
        <w:rPr>
          <w:rFonts w:ascii="Arial" w:hAnsi="Arial" w:cs="Arial"/>
          <w:sz w:val="20"/>
        </w:rPr>
      </w:pPr>
    </w:p>
    <w:p w:rsidR="00844F69" w:rsidRPr="00276D24" w:rsidRDefault="00844F69" w:rsidP="00953379">
      <w:pPr>
        <w:pStyle w:val="Prrafodelista"/>
        <w:ind w:left="0"/>
        <w:jc w:val="both"/>
        <w:rPr>
          <w:rFonts w:ascii="Arial" w:hAnsi="Arial" w:cs="Arial"/>
          <w:b/>
          <w:sz w:val="20"/>
        </w:rPr>
      </w:pPr>
    </w:p>
    <w:p w:rsidR="00844F69" w:rsidRPr="00276D24" w:rsidRDefault="00844F69" w:rsidP="00953379">
      <w:pPr>
        <w:pStyle w:val="Prrafodelista"/>
        <w:ind w:left="0"/>
        <w:jc w:val="both"/>
        <w:rPr>
          <w:rFonts w:ascii="Arial" w:hAnsi="Arial" w:cs="Arial"/>
          <w:b/>
          <w:sz w:val="20"/>
        </w:rPr>
      </w:pPr>
    </w:p>
    <w:p w:rsidR="00D6360F" w:rsidRPr="00276D24" w:rsidRDefault="009404B4" w:rsidP="00953379">
      <w:pPr>
        <w:pStyle w:val="Prrafodelista"/>
        <w:ind w:left="0"/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b/>
          <w:sz w:val="20"/>
        </w:rPr>
        <w:t xml:space="preserve">ANOTESE, </w:t>
      </w:r>
      <w:r w:rsidR="00D6360F" w:rsidRPr="00276D24">
        <w:rPr>
          <w:rFonts w:ascii="Arial" w:hAnsi="Arial" w:cs="Arial"/>
          <w:b/>
          <w:sz w:val="20"/>
        </w:rPr>
        <w:t>COMUNIQUESE</w:t>
      </w:r>
      <w:r w:rsidRPr="00276D24">
        <w:rPr>
          <w:rFonts w:ascii="Arial" w:hAnsi="Arial" w:cs="Arial"/>
          <w:b/>
          <w:sz w:val="20"/>
        </w:rPr>
        <w:t xml:space="preserve"> y PUBLIQUESE  EN EL DIARIO OFICIAL Y EN LA PÁGINA WEB DEL SERVICIO</w:t>
      </w:r>
      <w:r w:rsidR="00D6360F" w:rsidRPr="00276D24">
        <w:rPr>
          <w:rFonts w:ascii="Arial" w:hAnsi="Arial" w:cs="Arial"/>
          <w:b/>
          <w:sz w:val="20"/>
        </w:rPr>
        <w:t>.</w:t>
      </w:r>
    </w:p>
    <w:p w:rsidR="00DB5F6B" w:rsidRPr="00276D24" w:rsidRDefault="00DB5F6B" w:rsidP="00953379">
      <w:pPr>
        <w:jc w:val="both"/>
        <w:rPr>
          <w:rStyle w:val="nfasis"/>
          <w:rFonts w:ascii="Arial" w:hAnsi="Arial" w:cs="Arial"/>
          <w:b/>
          <w:i w:val="0"/>
          <w:iCs w:val="0"/>
          <w:sz w:val="20"/>
        </w:rPr>
      </w:pPr>
    </w:p>
    <w:p w:rsidR="00563ABE" w:rsidRPr="00276D24" w:rsidRDefault="00563ABE" w:rsidP="00953379">
      <w:pPr>
        <w:jc w:val="both"/>
        <w:rPr>
          <w:rStyle w:val="nfasis"/>
          <w:rFonts w:ascii="Arial" w:hAnsi="Arial" w:cs="Arial"/>
          <w:i w:val="0"/>
          <w:iCs w:val="0"/>
          <w:sz w:val="20"/>
        </w:rPr>
      </w:pPr>
    </w:p>
    <w:p w:rsidR="00563ABE" w:rsidRPr="00276D24" w:rsidRDefault="00563ABE" w:rsidP="00953379">
      <w:pPr>
        <w:jc w:val="both"/>
        <w:rPr>
          <w:rStyle w:val="nfasis"/>
          <w:rFonts w:ascii="Arial" w:hAnsi="Arial" w:cs="Arial"/>
          <w:i w:val="0"/>
          <w:iCs w:val="0"/>
          <w:sz w:val="20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  <w:bookmarkStart w:id="0" w:name="_GoBack"/>
      <w:bookmarkEnd w:id="0"/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Pr="00276D24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DB5F6B" w:rsidRPr="00423768" w:rsidRDefault="00571834" w:rsidP="00953379">
      <w:pPr>
        <w:jc w:val="both"/>
        <w:rPr>
          <w:rStyle w:val="nfasis"/>
          <w:rFonts w:ascii="Arial" w:hAnsi="Arial" w:cs="Arial"/>
          <w:i w:val="0"/>
          <w:iCs w:val="0"/>
          <w:sz w:val="20"/>
          <w:u w:val="single"/>
        </w:rPr>
      </w:pPr>
      <w:r w:rsidRPr="00423768">
        <w:rPr>
          <w:rStyle w:val="nfasis"/>
          <w:rFonts w:ascii="Arial" w:hAnsi="Arial" w:cs="Arial"/>
          <w:i w:val="0"/>
          <w:iCs w:val="0"/>
          <w:sz w:val="20"/>
        </w:rPr>
        <w:t>AAL</w:t>
      </w:r>
      <w:r w:rsidR="004C11C5" w:rsidRPr="00423768">
        <w:rPr>
          <w:rStyle w:val="nfasis"/>
          <w:rFonts w:ascii="Arial" w:hAnsi="Arial" w:cs="Arial"/>
          <w:i w:val="0"/>
          <w:iCs w:val="0"/>
          <w:sz w:val="20"/>
        </w:rPr>
        <w:t>/</w:t>
      </w:r>
      <w:r w:rsidR="001A3F8D" w:rsidRPr="00423768">
        <w:rPr>
          <w:rStyle w:val="nfasis"/>
          <w:rFonts w:ascii="Arial" w:hAnsi="Arial" w:cs="Arial"/>
          <w:i w:val="0"/>
          <w:iCs w:val="0"/>
          <w:sz w:val="20"/>
        </w:rPr>
        <w:t>PAG/GFA/</w:t>
      </w:r>
      <w:r w:rsidR="00523CC0" w:rsidRPr="00423768">
        <w:rPr>
          <w:rStyle w:val="nfasis"/>
          <w:rFonts w:ascii="Arial" w:hAnsi="Arial" w:cs="Arial"/>
          <w:i w:val="0"/>
          <w:iCs w:val="0"/>
          <w:sz w:val="20"/>
        </w:rPr>
        <w:t>/JLCM/</w:t>
      </w:r>
      <w:r w:rsidR="001A3F8D" w:rsidRPr="00423768">
        <w:rPr>
          <w:rStyle w:val="nfasis"/>
          <w:rFonts w:ascii="Arial" w:hAnsi="Arial" w:cs="Arial"/>
          <w:i w:val="0"/>
          <w:iCs w:val="0"/>
          <w:sz w:val="20"/>
        </w:rPr>
        <w:t>CSV/AKOA</w:t>
      </w:r>
      <w:r w:rsidR="00D0014C" w:rsidRPr="00423768">
        <w:rPr>
          <w:rStyle w:val="nfasis"/>
          <w:rFonts w:ascii="Arial" w:hAnsi="Arial" w:cs="Arial"/>
          <w:i w:val="0"/>
          <w:iCs w:val="0"/>
          <w:sz w:val="20"/>
        </w:rPr>
        <w:t>/</w:t>
      </w:r>
      <w:r w:rsidR="00A527EA" w:rsidRPr="00423768">
        <w:rPr>
          <w:rStyle w:val="nfasis"/>
          <w:rFonts w:ascii="Arial" w:hAnsi="Arial" w:cs="Arial"/>
          <w:i w:val="0"/>
          <w:iCs w:val="0"/>
          <w:sz w:val="20"/>
        </w:rPr>
        <w:t>GLH</w:t>
      </w:r>
      <w:r w:rsidR="00484218" w:rsidRPr="00423768">
        <w:rPr>
          <w:rStyle w:val="nfasis"/>
          <w:rFonts w:ascii="Arial" w:hAnsi="Arial" w:cs="Arial"/>
          <w:i w:val="0"/>
          <w:iCs w:val="0"/>
          <w:sz w:val="20"/>
        </w:rPr>
        <w:t>/MB</w:t>
      </w:r>
      <w:r w:rsidR="00F07418" w:rsidRPr="00423768">
        <w:rPr>
          <w:rStyle w:val="nfasis"/>
          <w:rFonts w:ascii="Arial" w:hAnsi="Arial" w:cs="Arial"/>
          <w:i w:val="0"/>
          <w:iCs w:val="0"/>
          <w:sz w:val="20"/>
        </w:rPr>
        <w:t>Z/HNV</w:t>
      </w:r>
    </w:p>
    <w:p w:rsidR="00DB5F6B" w:rsidRPr="00276D24" w:rsidRDefault="00DB5F6B" w:rsidP="00953379">
      <w:pPr>
        <w:jc w:val="both"/>
        <w:rPr>
          <w:rStyle w:val="nfasis"/>
          <w:rFonts w:ascii="Arial" w:hAnsi="Arial" w:cs="Arial"/>
          <w:i w:val="0"/>
          <w:iCs w:val="0"/>
          <w:sz w:val="18"/>
          <w:u w:val="single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  <w:u w:val="single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  <w:u w:val="single"/>
        </w:rPr>
      </w:pPr>
    </w:p>
    <w:p w:rsidR="00D654B2" w:rsidRPr="00276D24" w:rsidRDefault="00A527EA" w:rsidP="00953379">
      <w:pPr>
        <w:jc w:val="both"/>
        <w:rPr>
          <w:rStyle w:val="nfasis"/>
          <w:rFonts w:ascii="Arial" w:hAnsi="Arial" w:cs="Arial"/>
          <w:b/>
          <w:i w:val="0"/>
          <w:iCs w:val="0"/>
          <w:sz w:val="16"/>
          <w:u w:val="single"/>
        </w:rPr>
      </w:pPr>
      <w:r w:rsidRPr="00276D24">
        <w:rPr>
          <w:rStyle w:val="nfasis"/>
          <w:rFonts w:ascii="Arial" w:hAnsi="Arial" w:cs="Arial"/>
          <w:b/>
          <w:i w:val="0"/>
          <w:iCs w:val="0"/>
          <w:sz w:val="16"/>
          <w:u w:val="single"/>
        </w:rPr>
        <w:t>DISTRIBUCION</w:t>
      </w:r>
      <w:r w:rsidR="00C76F05" w:rsidRPr="00276D24">
        <w:rPr>
          <w:rStyle w:val="nfasis"/>
          <w:rFonts w:ascii="Arial" w:hAnsi="Arial" w:cs="Arial"/>
          <w:b/>
          <w:i w:val="0"/>
          <w:iCs w:val="0"/>
          <w:sz w:val="16"/>
          <w:u w:val="single"/>
        </w:rPr>
        <w:t>:</w:t>
      </w:r>
    </w:p>
    <w:p w:rsidR="00C10810" w:rsidRPr="00276D24" w:rsidRDefault="00C10810" w:rsidP="00953379">
      <w:pPr>
        <w:jc w:val="both"/>
        <w:rPr>
          <w:rStyle w:val="nfasis"/>
          <w:rFonts w:ascii="Arial" w:hAnsi="Arial" w:cs="Arial"/>
          <w:b/>
          <w:i w:val="0"/>
          <w:iCs w:val="0"/>
          <w:sz w:val="16"/>
          <w:u w:val="single"/>
        </w:rPr>
      </w:pPr>
    </w:p>
    <w:p w:rsidR="00A527EA" w:rsidRPr="00276D24" w:rsidRDefault="00D654B2" w:rsidP="00953379">
      <w:pPr>
        <w:pStyle w:val="Prrafodelista"/>
        <w:numPr>
          <w:ilvl w:val="0"/>
          <w:numId w:val="16"/>
        </w:numPr>
        <w:jc w:val="both"/>
        <w:rPr>
          <w:rStyle w:val="nfasis"/>
          <w:rFonts w:ascii="Arial" w:hAnsi="Arial" w:cs="Arial"/>
          <w:i w:val="0"/>
          <w:iCs w:val="0"/>
          <w:sz w:val="14"/>
        </w:rPr>
      </w:pPr>
      <w:r w:rsidRPr="00276D24">
        <w:rPr>
          <w:rStyle w:val="nfasis"/>
          <w:rFonts w:ascii="Arial" w:hAnsi="Arial" w:cs="Arial"/>
          <w:i w:val="0"/>
          <w:iCs w:val="0"/>
          <w:sz w:val="14"/>
        </w:rPr>
        <w:t>DIRECCIONES REGIONALES Y ADMINISTRACIONES DE ADUANA</w:t>
      </w:r>
    </w:p>
    <w:p w:rsidR="00D654B2" w:rsidRPr="00276D24" w:rsidRDefault="00D654B2" w:rsidP="00953379">
      <w:pPr>
        <w:pStyle w:val="Prrafodelista"/>
        <w:numPr>
          <w:ilvl w:val="0"/>
          <w:numId w:val="16"/>
        </w:numPr>
        <w:jc w:val="both"/>
        <w:rPr>
          <w:rStyle w:val="nfasis"/>
          <w:rFonts w:ascii="Arial" w:hAnsi="Arial" w:cs="Arial"/>
          <w:i w:val="0"/>
          <w:iCs w:val="0"/>
          <w:sz w:val="14"/>
        </w:rPr>
      </w:pPr>
      <w:r w:rsidRPr="00276D24">
        <w:rPr>
          <w:rStyle w:val="nfasis"/>
          <w:rFonts w:ascii="Arial" w:hAnsi="Arial" w:cs="Arial"/>
          <w:i w:val="0"/>
          <w:iCs w:val="0"/>
          <w:sz w:val="14"/>
        </w:rPr>
        <w:t>ANAGENA A.G.</w:t>
      </w:r>
    </w:p>
    <w:p w:rsidR="00D654B2" w:rsidRPr="00276D24" w:rsidRDefault="00D654B2" w:rsidP="00953379">
      <w:pPr>
        <w:pStyle w:val="Prrafodelista"/>
        <w:numPr>
          <w:ilvl w:val="0"/>
          <w:numId w:val="16"/>
        </w:numPr>
        <w:jc w:val="both"/>
        <w:rPr>
          <w:rStyle w:val="nfasis"/>
          <w:rFonts w:ascii="Arial" w:hAnsi="Arial" w:cs="Arial"/>
          <w:i w:val="0"/>
          <w:iCs w:val="0"/>
          <w:sz w:val="14"/>
        </w:rPr>
      </w:pPr>
      <w:r w:rsidRPr="00276D24">
        <w:rPr>
          <w:rStyle w:val="nfasis"/>
          <w:rFonts w:ascii="Arial" w:hAnsi="Arial" w:cs="Arial"/>
          <w:i w:val="0"/>
          <w:iCs w:val="0"/>
          <w:sz w:val="14"/>
        </w:rPr>
        <w:t>CAMARA ADUANERA DE CHILE A.G.</w:t>
      </w:r>
    </w:p>
    <w:sectPr w:rsidR="00D654B2" w:rsidRPr="00276D24" w:rsidSect="00FA1151">
      <w:headerReference w:type="even" r:id="rId8"/>
      <w:headerReference w:type="default" r:id="rId9"/>
      <w:pgSz w:w="12242" w:h="18722" w:code="1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D9" w:rsidRDefault="00A825D9">
      <w:r>
        <w:separator/>
      </w:r>
    </w:p>
  </w:endnote>
  <w:endnote w:type="continuationSeparator" w:id="1">
    <w:p w:rsidR="00A825D9" w:rsidRDefault="00A8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D9" w:rsidRDefault="00A825D9">
      <w:r>
        <w:separator/>
      </w:r>
    </w:p>
  </w:footnote>
  <w:footnote w:type="continuationSeparator" w:id="1">
    <w:p w:rsidR="00A825D9" w:rsidRDefault="00A82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56" w:rsidRDefault="00F054E2" w:rsidP="008A3A62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D765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656" w:rsidRDefault="008D765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56" w:rsidRDefault="008D7656" w:rsidP="008A3A62">
    <w:pPr>
      <w:pStyle w:val="Encabezado"/>
      <w:framePr w:wrap="around" w:vAnchor="text" w:hAnchor="margin" w:xAlign="center" w:y="1"/>
      <w:rPr>
        <w:rStyle w:val="Nmerodepgina"/>
      </w:rPr>
    </w:pPr>
  </w:p>
  <w:p w:rsidR="00254D42" w:rsidRDefault="00254D42" w:rsidP="00254D42">
    <w:pPr>
      <w:rPr>
        <w:rFonts w:cs="Arial"/>
        <w:sz w:val="16"/>
        <w:szCs w:val="16"/>
      </w:rPr>
    </w:pPr>
    <w:r w:rsidRPr="008709D0">
      <w:rPr>
        <w:rFonts w:cs="Arial"/>
        <w:noProof/>
        <w:sz w:val="16"/>
        <w:szCs w:val="16"/>
        <w:lang w:val="es-CL" w:eastAsia="es-CL"/>
      </w:rPr>
      <w:drawing>
        <wp:inline distT="0" distB="0" distL="0" distR="0">
          <wp:extent cx="676275" cy="683707"/>
          <wp:effectExtent l="19050" t="0" r="9525" b="0"/>
          <wp:docPr id="3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3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4D42" w:rsidRPr="007C7BD9" w:rsidRDefault="00254D42" w:rsidP="00220459">
    <w:pPr>
      <w:rPr>
        <w:rFonts w:ascii="Arial" w:hAnsi="Arial" w:cs="Arial"/>
        <w:sz w:val="16"/>
        <w:szCs w:val="16"/>
      </w:rPr>
    </w:pPr>
    <w:r w:rsidRPr="007C7BD9">
      <w:rPr>
        <w:rFonts w:ascii="Arial" w:hAnsi="Arial" w:cs="Arial"/>
        <w:sz w:val="16"/>
        <w:szCs w:val="16"/>
      </w:rPr>
      <w:t>Servicio Nacional de Aduanas</w:t>
    </w:r>
  </w:p>
  <w:p w:rsidR="00254D42" w:rsidRPr="007C7BD9" w:rsidRDefault="00254D42" w:rsidP="00220459">
    <w:pPr>
      <w:rPr>
        <w:rFonts w:ascii="Arial" w:hAnsi="Arial" w:cs="Arial"/>
        <w:sz w:val="16"/>
        <w:szCs w:val="16"/>
      </w:rPr>
    </w:pPr>
    <w:r w:rsidRPr="007C7BD9">
      <w:rPr>
        <w:rFonts w:ascii="Arial" w:hAnsi="Arial" w:cs="Arial"/>
        <w:sz w:val="16"/>
        <w:szCs w:val="16"/>
      </w:rPr>
      <w:t>Dirección Nacional</w:t>
    </w:r>
  </w:p>
  <w:p w:rsidR="00FA358B" w:rsidRPr="007C7BD9" w:rsidRDefault="00254D42" w:rsidP="00055408">
    <w:pPr>
      <w:rPr>
        <w:rFonts w:ascii="Arial" w:hAnsi="Arial" w:cs="Arial"/>
        <w:sz w:val="16"/>
        <w:szCs w:val="16"/>
      </w:rPr>
    </w:pPr>
    <w:r w:rsidRPr="007C7BD9">
      <w:rPr>
        <w:rFonts w:ascii="Arial" w:hAnsi="Arial" w:cs="Arial"/>
        <w:sz w:val="16"/>
        <w:szCs w:val="16"/>
      </w:rPr>
      <w:t>Subdirección Técnica</w:t>
    </w:r>
  </w:p>
  <w:p w:rsidR="008D7656" w:rsidRPr="007C7BD9" w:rsidRDefault="00254D42" w:rsidP="00055408">
    <w:pPr>
      <w:rPr>
        <w:rFonts w:ascii="Arial" w:hAnsi="Arial" w:cs="Arial"/>
        <w:sz w:val="16"/>
        <w:szCs w:val="16"/>
      </w:rPr>
    </w:pPr>
    <w:r w:rsidRPr="007C7BD9">
      <w:rPr>
        <w:rFonts w:ascii="Arial" w:hAnsi="Arial" w:cs="Arial"/>
        <w:b/>
        <w:sz w:val="16"/>
        <w:szCs w:val="16"/>
      </w:rPr>
      <w:t>Subdepto. Normas Generales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581"/>
    <w:multiLevelType w:val="hybridMultilevel"/>
    <w:tmpl w:val="69D6A1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815"/>
    <w:multiLevelType w:val="hybridMultilevel"/>
    <w:tmpl w:val="92648166"/>
    <w:lvl w:ilvl="0" w:tplc="828248E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929B1"/>
    <w:multiLevelType w:val="hybridMultilevel"/>
    <w:tmpl w:val="55865346"/>
    <w:lvl w:ilvl="0" w:tplc="340A000F">
      <w:start w:val="1"/>
      <w:numFmt w:val="decimal"/>
      <w:lvlText w:val="%1.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4556D2E"/>
    <w:multiLevelType w:val="hybridMultilevel"/>
    <w:tmpl w:val="2C0E65CE"/>
    <w:lvl w:ilvl="0" w:tplc="A10AA1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65852"/>
    <w:multiLevelType w:val="hybridMultilevel"/>
    <w:tmpl w:val="1DE665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A0165D"/>
    <w:multiLevelType w:val="hybridMultilevel"/>
    <w:tmpl w:val="5D1A32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A1D42"/>
    <w:multiLevelType w:val="hybridMultilevel"/>
    <w:tmpl w:val="4BEC1B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A7378"/>
    <w:multiLevelType w:val="hybridMultilevel"/>
    <w:tmpl w:val="5C7ECF3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74C90"/>
    <w:multiLevelType w:val="hybridMultilevel"/>
    <w:tmpl w:val="8D70837C"/>
    <w:lvl w:ilvl="0" w:tplc="828248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3134B"/>
    <w:multiLevelType w:val="hybridMultilevel"/>
    <w:tmpl w:val="0F385782"/>
    <w:lvl w:ilvl="0" w:tplc="A044E438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8D75EE"/>
    <w:multiLevelType w:val="hybridMultilevel"/>
    <w:tmpl w:val="E73C7BFE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513FFD"/>
    <w:multiLevelType w:val="hybridMultilevel"/>
    <w:tmpl w:val="330EEFE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A02DE"/>
    <w:multiLevelType w:val="hybridMultilevel"/>
    <w:tmpl w:val="7A5A5E6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0714F"/>
    <w:multiLevelType w:val="hybridMultilevel"/>
    <w:tmpl w:val="8D847BEC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E73D7"/>
    <w:multiLevelType w:val="hybridMultilevel"/>
    <w:tmpl w:val="A0AA1E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F15858"/>
    <w:multiLevelType w:val="hybridMultilevel"/>
    <w:tmpl w:val="FDBA68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551B"/>
    <w:multiLevelType w:val="hybridMultilevel"/>
    <w:tmpl w:val="A0021B2C"/>
    <w:lvl w:ilvl="0" w:tplc="D8FE041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6396" w:hanging="360"/>
      </w:pPr>
    </w:lvl>
    <w:lvl w:ilvl="2" w:tplc="340A001B" w:tentative="1">
      <w:start w:val="1"/>
      <w:numFmt w:val="lowerRoman"/>
      <w:lvlText w:val="%3."/>
      <w:lvlJc w:val="right"/>
      <w:pPr>
        <w:ind w:left="7116" w:hanging="180"/>
      </w:pPr>
    </w:lvl>
    <w:lvl w:ilvl="3" w:tplc="340A000F" w:tentative="1">
      <w:start w:val="1"/>
      <w:numFmt w:val="decimal"/>
      <w:lvlText w:val="%4."/>
      <w:lvlJc w:val="left"/>
      <w:pPr>
        <w:ind w:left="7836" w:hanging="360"/>
      </w:pPr>
    </w:lvl>
    <w:lvl w:ilvl="4" w:tplc="340A0019" w:tentative="1">
      <w:start w:val="1"/>
      <w:numFmt w:val="lowerLetter"/>
      <w:lvlText w:val="%5."/>
      <w:lvlJc w:val="left"/>
      <w:pPr>
        <w:ind w:left="8556" w:hanging="360"/>
      </w:pPr>
    </w:lvl>
    <w:lvl w:ilvl="5" w:tplc="340A001B" w:tentative="1">
      <w:start w:val="1"/>
      <w:numFmt w:val="lowerRoman"/>
      <w:lvlText w:val="%6."/>
      <w:lvlJc w:val="right"/>
      <w:pPr>
        <w:ind w:left="9276" w:hanging="180"/>
      </w:pPr>
    </w:lvl>
    <w:lvl w:ilvl="6" w:tplc="340A000F" w:tentative="1">
      <w:start w:val="1"/>
      <w:numFmt w:val="decimal"/>
      <w:lvlText w:val="%7."/>
      <w:lvlJc w:val="left"/>
      <w:pPr>
        <w:ind w:left="9996" w:hanging="360"/>
      </w:pPr>
    </w:lvl>
    <w:lvl w:ilvl="7" w:tplc="340A0019" w:tentative="1">
      <w:start w:val="1"/>
      <w:numFmt w:val="lowerLetter"/>
      <w:lvlText w:val="%8."/>
      <w:lvlJc w:val="left"/>
      <w:pPr>
        <w:ind w:left="10716" w:hanging="360"/>
      </w:pPr>
    </w:lvl>
    <w:lvl w:ilvl="8" w:tplc="34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7">
    <w:nsid w:val="42E92FCF"/>
    <w:multiLevelType w:val="hybridMultilevel"/>
    <w:tmpl w:val="C9C28D2A"/>
    <w:lvl w:ilvl="0" w:tplc="414A3112">
      <w:start w:val="1"/>
      <w:numFmt w:val="decimal"/>
      <w:lvlText w:val="%1."/>
      <w:lvlJc w:val="left"/>
      <w:pPr>
        <w:ind w:left="5130" w:hanging="63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580" w:hanging="360"/>
      </w:pPr>
    </w:lvl>
    <w:lvl w:ilvl="2" w:tplc="340A001B" w:tentative="1">
      <w:start w:val="1"/>
      <w:numFmt w:val="lowerRoman"/>
      <w:lvlText w:val="%3."/>
      <w:lvlJc w:val="right"/>
      <w:pPr>
        <w:ind w:left="6300" w:hanging="180"/>
      </w:pPr>
    </w:lvl>
    <w:lvl w:ilvl="3" w:tplc="340A000F" w:tentative="1">
      <w:start w:val="1"/>
      <w:numFmt w:val="decimal"/>
      <w:lvlText w:val="%4."/>
      <w:lvlJc w:val="left"/>
      <w:pPr>
        <w:ind w:left="7020" w:hanging="360"/>
      </w:pPr>
    </w:lvl>
    <w:lvl w:ilvl="4" w:tplc="340A0019" w:tentative="1">
      <w:start w:val="1"/>
      <w:numFmt w:val="lowerLetter"/>
      <w:lvlText w:val="%5."/>
      <w:lvlJc w:val="left"/>
      <w:pPr>
        <w:ind w:left="7740" w:hanging="360"/>
      </w:pPr>
    </w:lvl>
    <w:lvl w:ilvl="5" w:tplc="340A001B" w:tentative="1">
      <w:start w:val="1"/>
      <w:numFmt w:val="lowerRoman"/>
      <w:lvlText w:val="%6."/>
      <w:lvlJc w:val="right"/>
      <w:pPr>
        <w:ind w:left="8460" w:hanging="180"/>
      </w:pPr>
    </w:lvl>
    <w:lvl w:ilvl="6" w:tplc="340A000F" w:tentative="1">
      <w:start w:val="1"/>
      <w:numFmt w:val="decimal"/>
      <w:lvlText w:val="%7."/>
      <w:lvlJc w:val="left"/>
      <w:pPr>
        <w:ind w:left="9180" w:hanging="360"/>
      </w:pPr>
    </w:lvl>
    <w:lvl w:ilvl="7" w:tplc="340A0019" w:tentative="1">
      <w:start w:val="1"/>
      <w:numFmt w:val="lowerLetter"/>
      <w:lvlText w:val="%8."/>
      <w:lvlJc w:val="left"/>
      <w:pPr>
        <w:ind w:left="9900" w:hanging="360"/>
      </w:pPr>
    </w:lvl>
    <w:lvl w:ilvl="8" w:tplc="340A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8">
    <w:nsid w:val="4A4D3369"/>
    <w:multiLevelType w:val="hybridMultilevel"/>
    <w:tmpl w:val="496887E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D61DB"/>
    <w:multiLevelType w:val="hybridMultilevel"/>
    <w:tmpl w:val="65F84698"/>
    <w:lvl w:ilvl="0" w:tplc="340A0013">
      <w:start w:val="1"/>
      <w:numFmt w:val="upperRoman"/>
      <w:lvlText w:val="%1."/>
      <w:lvlJc w:val="righ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4E321762"/>
    <w:multiLevelType w:val="hybridMultilevel"/>
    <w:tmpl w:val="9FDA081C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2520EA"/>
    <w:multiLevelType w:val="hybridMultilevel"/>
    <w:tmpl w:val="BAEA58A2"/>
    <w:lvl w:ilvl="0" w:tplc="340A000F">
      <w:start w:val="1"/>
      <w:numFmt w:val="decimal"/>
      <w:lvlText w:val="%1.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DE279A4"/>
    <w:multiLevelType w:val="hybridMultilevel"/>
    <w:tmpl w:val="6D1AEF32"/>
    <w:lvl w:ilvl="0" w:tplc="F2E875B8">
      <w:start w:val="1"/>
      <w:numFmt w:val="upperRoman"/>
      <w:lvlText w:val="%1."/>
      <w:lvlJc w:val="right"/>
      <w:pPr>
        <w:ind w:left="638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7104" w:hanging="360"/>
      </w:pPr>
    </w:lvl>
    <w:lvl w:ilvl="2" w:tplc="340A001B" w:tentative="1">
      <w:start w:val="1"/>
      <w:numFmt w:val="lowerRoman"/>
      <w:lvlText w:val="%3."/>
      <w:lvlJc w:val="right"/>
      <w:pPr>
        <w:ind w:left="7824" w:hanging="180"/>
      </w:pPr>
    </w:lvl>
    <w:lvl w:ilvl="3" w:tplc="340A000F" w:tentative="1">
      <w:start w:val="1"/>
      <w:numFmt w:val="decimal"/>
      <w:lvlText w:val="%4."/>
      <w:lvlJc w:val="left"/>
      <w:pPr>
        <w:ind w:left="8544" w:hanging="360"/>
      </w:pPr>
    </w:lvl>
    <w:lvl w:ilvl="4" w:tplc="340A0019" w:tentative="1">
      <w:start w:val="1"/>
      <w:numFmt w:val="lowerLetter"/>
      <w:lvlText w:val="%5."/>
      <w:lvlJc w:val="left"/>
      <w:pPr>
        <w:ind w:left="9264" w:hanging="360"/>
      </w:pPr>
    </w:lvl>
    <w:lvl w:ilvl="5" w:tplc="340A001B" w:tentative="1">
      <w:start w:val="1"/>
      <w:numFmt w:val="lowerRoman"/>
      <w:lvlText w:val="%6."/>
      <w:lvlJc w:val="right"/>
      <w:pPr>
        <w:ind w:left="9984" w:hanging="180"/>
      </w:pPr>
    </w:lvl>
    <w:lvl w:ilvl="6" w:tplc="340A000F" w:tentative="1">
      <w:start w:val="1"/>
      <w:numFmt w:val="decimal"/>
      <w:lvlText w:val="%7."/>
      <w:lvlJc w:val="left"/>
      <w:pPr>
        <w:ind w:left="10704" w:hanging="360"/>
      </w:pPr>
    </w:lvl>
    <w:lvl w:ilvl="7" w:tplc="340A0019" w:tentative="1">
      <w:start w:val="1"/>
      <w:numFmt w:val="lowerLetter"/>
      <w:lvlText w:val="%8."/>
      <w:lvlJc w:val="left"/>
      <w:pPr>
        <w:ind w:left="11424" w:hanging="360"/>
      </w:pPr>
    </w:lvl>
    <w:lvl w:ilvl="8" w:tplc="340A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3">
    <w:nsid w:val="630162BD"/>
    <w:multiLevelType w:val="hybridMultilevel"/>
    <w:tmpl w:val="55341EEE"/>
    <w:lvl w:ilvl="0" w:tplc="828248E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F61DE3"/>
    <w:multiLevelType w:val="hybridMultilevel"/>
    <w:tmpl w:val="330CAFE8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317320"/>
    <w:multiLevelType w:val="hybridMultilevel"/>
    <w:tmpl w:val="A2F4F692"/>
    <w:lvl w:ilvl="0" w:tplc="340A0013">
      <w:start w:val="1"/>
      <w:numFmt w:val="upperRoman"/>
      <w:lvlText w:val="%1."/>
      <w:lvlJc w:val="right"/>
      <w:pPr>
        <w:ind w:left="-207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513" w:hanging="360"/>
      </w:pPr>
    </w:lvl>
    <w:lvl w:ilvl="2" w:tplc="828248E8">
      <w:start w:val="1"/>
      <w:numFmt w:val="bullet"/>
      <w:lvlText w:val="-"/>
      <w:lvlJc w:val="left"/>
      <w:pPr>
        <w:ind w:left="1233" w:hanging="180"/>
      </w:pPr>
      <w:rPr>
        <w:rFonts w:ascii="Verdana" w:hAnsi="Verdana" w:hint="default"/>
      </w:r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BC5BFD"/>
    <w:multiLevelType w:val="hybridMultilevel"/>
    <w:tmpl w:val="07BCF266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223561"/>
    <w:multiLevelType w:val="hybridMultilevel"/>
    <w:tmpl w:val="2FA2AB8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F927CE"/>
    <w:multiLevelType w:val="hybridMultilevel"/>
    <w:tmpl w:val="24BEDBBE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1D67B4"/>
    <w:multiLevelType w:val="hybridMultilevel"/>
    <w:tmpl w:val="E20C849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2F0E6C"/>
    <w:multiLevelType w:val="hybridMultilevel"/>
    <w:tmpl w:val="26668B6C"/>
    <w:lvl w:ilvl="0" w:tplc="340A0019">
      <w:start w:val="1"/>
      <w:numFmt w:val="lowerLetter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747F0741"/>
    <w:multiLevelType w:val="hybridMultilevel"/>
    <w:tmpl w:val="D768431C"/>
    <w:lvl w:ilvl="0" w:tplc="828248E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EA74CB"/>
    <w:multiLevelType w:val="hybridMultilevel"/>
    <w:tmpl w:val="D7D4792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9"/>
  </w:num>
  <w:num w:numId="4">
    <w:abstractNumId w:val="8"/>
  </w:num>
  <w:num w:numId="5">
    <w:abstractNumId w:val="6"/>
  </w:num>
  <w:num w:numId="6">
    <w:abstractNumId w:val="27"/>
  </w:num>
  <w:num w:numId="7">
    <w:abstractNumId w:val="31"/>
  </w:num>
  <w:num w:numId="8">
    <w:abstractNumId w:val="1"/>
  </w:num>
  <w:num w:numId="9">
    <w:abstractNumId w:val="9"/>
  </w:num>
  <w:num w:numId="10">
    <w:abstractNumId w:val="30"/>
  </w:num>
  <w:num w:numId="11">
    <w:abstractNumId w:val="23"/>
  </w:num>
  <w:num w:numId="12">
    <w:abstractNumId w:val="11"/>
  </w:num>
  <w:num w:numId="13">
    <w:abstractNumId w:val="32"/>
  </w:num>
  <w:num w:numId="14">
    <w:abstractNumId w:val="12"/>
  </w:num>
  <w:num w:numId="15">
    <w:abstractNumId w:val="22"/>
  </w:num>
  <w:num w:numId="16">
    <w:abstractNumId w:val="4"/>
  </w:num>
  <w:num w:numId="17">
    <w:abstractNumId w:val="16"/>
  </w:num>
  <w:num w:numId="18">
    <w:abstractNumId w:val="14"/>
  </w:num>
  <w:num w:numId="19">
    <w:abstractNumId w:val="25"/>
  </w:num>
  <w:num w:numId="20">
    <w:abstractNumId w:val="2"/>
  </w:num>
  <w:num w:numId="21">
    <w:abstractNumId w:val="21"/>
  </w:num>
  <w:num w:numId="22">
    <w:abstractNumId w:val="24"/>
  </w:num>
  <w:num w:numId="23">
    <w:abstractNumId w:val="19"/>
  </w:num>
  <w:num w:numId="24">
    <w:abstractNumId w:val="18"/>
  </w:num>
  <w:num w:numId="25">
    <w:abstractNumId w:val="10"/>
  </w:num>
  <w:num w:numId="26">
    <w:abstractNumId w:val="28"/>
  </w:num>
  <w:num w:numId="27">
    <w:abstractNumId w:val="3"/>
  </w:num>
  <w:num w:numId="28">
    <w:abstractNumId w:val="26"/>
  </w:num>
  <w:num w:numId="29">
    <w:abstractNumId w:val="7"/>
  </w:num>
  <w:num w:numId="30">
    <w:abstractNumId w:val="13"/>
  </w:num>
  <w:num w:numId="31">
    <w:abstractNumId w:val="15"/>
  </w:num>
  <w:num w:numId="32">
    <w:abstractNumId w:val="2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727"/>
    <w:rsid w:val="00004AD0"/>
    <w:rsid w:val="000173A8"/>
    <w:rsid w:val="00020CD5"/>
    <w:rsid w:val="00022A58"/>
    <w:rsid w:val="00023937"/>
    <w:rsid w:val="00026618"/>
    <w:rsid w:val="00032A0D"/>
    <w:rsid w:val="00035E8E"/>
    <w:rsid w:val="0003756D"/>
    <w:rsid w:val="0004084F"/>
    <w:rsid w:val="000411A2"/>
    <w:rsid w:val="00045CC9"/>
    <w:rsid w:val="0005165C"/>
    <w:rsid w:val="000521E2"/>
    <w:rsid w:val="000537F2"/>
    <w:rsid w:val="00055408"/>
    <w:rsid w:val="00067C6A"/>
    <w:rsid w:val="00072453"/>
    <w:rsid w:val="00074622"/>
    <w:rsid w:val="00076F3C"/>
    <w:rsid w:val="00076FE1"/>
    <w:rsid w:val="00077328"/>
    <w:rsid w:val="00081B80"/>
    <w:rsid w:val="00083FE2"/>
    <w:rsid w:val="00085C46"/>
    <w:rsid w:val="00085F1C"/>
    <w:rsid w:val="00086D5C"/>
    <w:rsid w:val="000A1767"/>
    <w:rsid w:val="000A1DC3"/>
    <w:rsid w:val="000A2A10"/>
    <w:rsid w:val="000A487E"/>
    <w:rsid w:val="000B3A57"/>
    <w:rsid w:val="000B4D01"/>
    <w:rsid w:val="000C30F8"/>
    <w:rsid w:val="000C4891"/>
    <w:rsid w:val="000C6E1E"/>
    <w:rsid w:val="000D0A11"/>
    <w:rsid w:val="000D1DA5"/>
    <w:rsid w:val="000E5F2D"/>
    <w:rsid w:val="000E6DE7"/>
    <w:rsid w:val="000E6F03"/>
    <w:rsid w:val="000E701E"/>
    <w:rsid w:val="000F0837"/>
    <w:rsid w:val="000F2964"/>
    <w:rsid w:val="000F7553"/>
    <w:rsid w:val="001010CA"/>
    <w:rsid w:val="0011574D"/>
    <w:rsid w:val="00120196"/>
    <w:rsid w:val="001247F5"/>
    <w:rsid w:val="00131304"/>
    <w:rsid w:val="00137A8C"/>
    <w:rsid w:val="00140D37"/>
    <w:rsid w:val="00145A2C"/>
    <w:rsid w:val="001506DE"/>
    <w:rsid w:val="00150A76"/>
    <w:rsid w:val="00154BA6"/>
    <w:rsid w:val="00155CE6"/>
    <w:rsid w:val="00156B05"/>
    <w:rsid w:val="0015708B"/>
    <w:rsid w:val="0015733C"/>
    <w:rsid w:val="00161BA5"/>
    <w:rsid w:val="00161EC5"/>
    <w:rsid w:val="001643C4"/>
    <w:rsid w:val="001672F0"/>
    <w:rsid w:val="00174249"/>
    <w:rsid w:val="00175D52"/>
    <w:rsid w:val="001835FF"/>
    <w:rsid w:val="00184C64"/>
    <w:rsid w:val="00195FB9"/>
    <w:rsid w:val="001977CA"/>
    <w:rsid w:val="00197D7C"/>
    <w:rsid w:val="001A0040"/>
    <w:rsid w:val="001A3F8D"/>
    <w:rsid w:val="001A61EE"/>
    <w:rsid w:val="001B218B"/>
    <w:rsid w:val="001B267A"/>
    <w:rsid w:val="001C001A"/>
    <w:rsid w:val="001D36C8"/>
    <w:rsid w:val="001D4A55"/>
    <w:rsid w:val="001D5D23"/>
    <w:rsid w:val="001E0A33"/>
    <w:rsid w:val="001E51C8"/>
    <w:rsid w:val="001E6769"/>
    <w:rsid w:val="001F4274"/>
    <w:rsid w:val="001F512A"/>
    <w:rsid w:val="001F74C6"/>
    <w:rsid w:val="001F7F35"/>
    <w:rsid w:val="0020296C"/>
    <w:rsid w:val="00204840"/>
    <w:rsid w:val="00204F0B"/>
    <w:rsid w:val="0021176A"/>
    <w:rsid w:val="00220459"/>
    <w:rsid w:val="002225E7"/>
    <w:rsid w:val="00224505"/>
    <w:rsid w:val="0022460A"/>
    <w:rsid w:val="00232A56"/>
    <w:rsid w:val="0023487C"/>
    <w:rsid w:val="002353ED"/>
    <w:rsid w:val="00236B3C"/>
    <w:rsid w:val="00237353"/>
    <w:rsid w:val="00250AE4"/>
    <w:rsid w:val="00254D42"/>
    <w:rsid w:val="00256919"/>
    <w:rsid w:val="0026025D"/>
    <w:rsid w:val="00262958"/>
    <w:rsid w:val="00263ABA"/>
    <w:rsid w:val="00274B06"/>
    <w:rsid w:val="00275E2A"/>
    <w:rsid w:val="00276D24"/>
    <w:rsid w:val="00283C42"/>
    <w:rsid w:val="002844CC"/>
    <w:rsid w:val="00284DB6"/>
    <w:rsid w:val="0029058B"/>
    <w:rsid w:val="00291F39"/>
    <w:rsid w:val="00295B4F"/>
    <w:rsid w:val="00295DDB"/>
    <w:rsid w:val="00296F53"/>
    <w:rsid w:val="002A047E"/>
    <w:rsid w:val="002A3CD1"/>
    <w:rsid w:val="002A7FEA"/>
    <w:rsid w:val="002B2284"/>
    <w:rsid w:val="002B7630"/>
    <w:rsid w:val="002C1EB3"/>
    <w:rsid w:val="002C247B"/>
    <w:rsid w:val="002C558A"/>
    <w:rsid w:val="002C5F94"/>
    <w:rsid w:val="002C6E6E"/>
    <w:rsid w:val="002C6FDD"/>
    <w:rsid w:val="002C71D6"/>
    <w:rsid w:val="002C781E"/>
    <w:rsid w:val="002D5BC0"/>
    <w:rsid w:val="002E11F2"/>
    <w:rsid w:val="002E1C64"/>
    <w:rsid w:val="002E3955"/>
    <w:rsid w:val="002E43E5"/>
    <w:rsid w:val="002E7D4B"/>
    <w:rsid w:val="002E7F9C"/>
    <w:rsid w:val="002F0669"/>
    <w:rsid w:val="002F230E"/>
    <w:rsid w:val="002F2EAC"/>
    <w:rsid w:val="002F4F65"/>
    <w:rsid w:val="002F63F8"/>
    <w:rsid w:val="002F6A92"/>
    <w:rsid w:val="0030102A"/>
    <w:rsid w:val="00301765"/>
    <w:rsid w:val="00306A90"/>
    <w:rsid w:val="003105EC"/>
    <w:rsid w:val="00311CBE"/>
    <w:rsid w:val="00314C8E"/>
    <w:rsid w:val="00323B29"/>
    <w:rsid w:val="00324264"/>
    <w:rsid w:val="00327334"/>
    <w:rsid w:val="003367C1"/>
    <w:rsid w:val="00336F5D"/>
    <w:rsid w:val="00340555"/>
    <w:rsid w:val="00341C6F"/>
    <w:rsid w:val="00345341"/>
    <w:rsid w:val="003627DE"/>
    <w:rsid w:val="003634E1"/>
    <w:rsid w:val="0037352B"/>
    <w:rsid w:val="00373BB8"/>
    <w:rsid w:val="00375F0A"/>
    <w:rsid w:val="00376973"/>
    <w:rsid w:val="00380D6B"/>
    <w:rsid w:val="00385F39"/>
    <w:rsid w:val="00387502"/>
    <w:rsid w:val="00392185"/>
    <w:rsid w:val="00393EEA"/>
    <w:rsid w:val="00397E3A"/>
    <w:rsid w:val="003A0CB5"/>
    <w:rsid w:val="003A1F71"/>
    <w:rsid w:val="003B4B97"/>
    <w:rsid w:val="003B7F1B"/>
    <w:rsid w:val="003C30B5"/>
    <w:rsid w:val="003C3E5B"/>
    <w:rsid w:val="003C4AEC"/>
    <w:rsid w:val="003C5DD3"/>
    <w:rsid w:val="003D474C"/>
    <w:rsid w:val="003D73E7"/>
    <w:rsid w:val="003E1C60"/>
    <w:rsid w:val="003E4371"/>
    <w:rsid w:val="003E51C0"/>
    <w:rsid w:val="003E7220"/>
    <w:rsid w:val="00400210"/>
    <w:rsid w:val="004011E9"/>
    <w:rsid w:val="00404F29"/>
    <w:rsid w:val="004079A3"/>
    <w:rsid w:val="00420F8E"/>
    <w:rsid w:val="00420FE5"/>
    <w:rsid w:val="004229CE"/>
    <w:rsid w:val="00423768"/>
    <w:rsid w:val="004266BF"/>
    <w:rsid w:val="00426838"/>
    <w:rsid w:val="00426D73"/>
    <w:rsid w:val="004321B9"/>
    <w:rsid w:val="0045065B"/>
    <w:rsid w:val="004509D6"/>
    <w:rsid w:val="004524BC"/>
    <w:rsid w:val="004528D3"/>
    <w:rsid w:val="00453DA0"/>
    <w:rsid w:val="004549A7"/>
    <w:rsid w:val="00455E1A"/>
    <w:rsid w:val="00455FA4"/>
    <w:rsid w:val="004560C7"/>
    <w:rsid w:val="004604C0"/>
    <w:rsid w:val="004632A7"/>
    <w:rsid w:val="00463801"/>
    <w:rsid w:val="004765BC"/>
    <w:rsid w:val="0048161A"/>
    <w:rsid w:val="00484218"/>
    <w:rsid w:val="00486A55"/>
    <w:rsid w:val="00487E11"/>
    <w:rsid w:val="0049069E"/>
    <w:rsid w:val="0049378F"/>
    <w:rsid w:val="0049572D"/>
    <w:rsid w:val="0049759D"/>
    <w:rsid w:val="004A3035"/>
    <w:rsid w:val="004A41CC"/>
    <w:rsid w:val="004B743F"/>
    <w:rsid w:val="004C11C5"/>
    <w:rsid w:val="004C250B"/>
    <w:rsid w:val="004C35FD"/>
    <w:rsid w:val="004C6404"/>
    <w:rsid w:val="004D0CE6"/>
    <w:rsid w:val="004D14B5"/>
    <w:rsid w:val="004D5986"/>
    <w:rsid w:val="004D6510"/>
    <w:rsid w:val="004D6792"/>
    <w:rsid w:val="004D7B07"/>
    <w:rsid w:val="004E6B92"/>
    <w:rsid w:val="004E7E35"/>
    <w:rsid w:val="004F0476"/>
    <w:rsid w:val="004F1BD6"/>
    <w:rsid w:val="004F2BC3"/>
    <w:rsid w:val="0050139A"/>
    <w:rsid w:val="00502578"/>
    <w:rsid w:val="00504503"/>
    <w:rsid w:val="005054C6"/>
    <w:rsid w:val="00507FFE"/>
    <w:rsid w:val="0051013A"/>
    <w:rsid w:val="00511674"/>
    <w:rsid w:val="0051224F"/>
    <w:rsid w:val="00514CDB"/>
    <w:rsid w:val="00520C21"/>
    <w:rsid w:val="00521BF0"/>
    <w:rsid w:val="0052224B"/>
    <w:rsid w:val="00523CC0"/>
    <w:rsid w:val="00527BA1"/>
    <w:rsid w:val="005307FF"/>
    <w:rsid w:val="005317C8"/>
    <w:rsid w:val="0053451F"/>
    <w:rsid w:val="005428D0"/>
    <w:rsid w:val="0054358F"/>
    <w:rsid w:val="0054423B"/>
    <w:rsid w:val="005446A8"/>
    <w:rsid w:val="005446BB"/>
    <w:rsid w:val="00544ADE"/>
    <w:rsid w:val="00547111"/>
    <w:rsid w:val="00552D8D"/>
    <w:rsid w:val="00563ABE"/>
    <w:rsid w:val="00565CE9"/>
    <w:rsid w:val="005670B4"/>
    <w:rsid w:val="005673C9"/>
    <w:rsid w:val="005673E6"/>
    <w:rsid w:val="005705AD"/>
    <w:rsid w:val="00571534"/>
    <w:rsid w:val="00571834"/>
    <w:rsid w:val="00575129"/>
    <w:rsid w:val="00576FC3"/>
    <w:rsid w:val="00582B9F"/>
    <w:rsid w:val="00583CBC"/>
    <w:rsid w:val="0059026F"/>
    <w:rsid w:val="00592410"/>
    <w:rsid w:val="005975D3"/>
    <w:rsid w:val="005A05B6"/>
    <w:rsid w:val="005A14C6"/>
    <w:rsid w:val="005A50C3"/>
    <w:rsid w:val="005A5153"/>
    <w:rsid w:val="005B4F54"/>
    <w:rsid w:val="005B680E"/>
    <w:rsid w:val="005C291B"/>
    <w:rsid w:val="005C2928"/>
    <w:rsid w:val="005C423A"/>
    <w:rsid w:val="005C46BC"/>
    <w:rsid w:val="005D05D4"/>
    <w:rsid w:val="005D0FE5"/>
    <w:rsid w:val="005D25C8"/>
    <w:rsid w:val="005D6FBC"/>
    <w:rsid w:val="005D7E75"/>
    <w:rsid w:val="005E01B0"/>
    <w:rsid w:val="005E03A2"/>
    <w:rsid w:val="005E075F"/>
    <w:rsid w:val="005E6782"/>
    <w:rsid w:val="005F13C7"/>
    <w:rsid w:val="005F33B8"/>
    <w:rsid w:val="005F7AE1"/>
    <w:rsid w:val="00601171"/>
    <w:rsid w:val="006109EF"/>
    <w:rsid w:val="00610F59"/>
    <w:rsid w:val="006133B7"/>
    <w:rsid w:val="00623814"/>
    <w:rsid w:val="006341D8"/>
    <w:rsid w:val="00636D3F"/>
    <w:rsid w:val="00644DEB"/>
    <w:rsid w:val="00647169"/>
    <w:rsid w:val="00651282"/>
    <w:rsid w:val="006522F9"/>
    <w:rsid w:val="00675D34"/>
    <w:rsid w:val="00680C51"/>
    <w:rsid w:val="00681662"/>
    <w:rsid w:val="00683361"/>
    <w:rsid w:val="00685832"/>
    <w:rsid w:val="00687258"/>
    <w:rsid w:val="00690426"/>
    <w:rsid w:val="00691C21"/>
    <w:rsid w:val="006923E6"/>
    <w:rsid w:val="00692CBD"/>
    <w:rsid w:val="006A0D7B"/>
    <w:rsid w:val="006A3A2C"/>
    <w:rsid w:val="006A6ACA"/>
    <w:rsid w:val="006B413F"/>
    <w:rsid w:val="006B4ED2"/>
    <w:rsid w:val="006B5806"/>
    <w:rsid w:val="006B799D"/>
    <w:rsid w:val="006C06FE"/>
    <w:rsid w:val="006C677A"/>
    <w:rsid w:val="006D06AE"/>
    <w:rsid w:val="006D5AFC"/>
    <w:rsid w:val="006D684A"/>
    <w:rsid w:val="006D6AFA"/>
    <w:rsid w:val="006D7F68"/>
    <w:rsid w:val="006E044F"/>
    <w:rsid w:val="006E23A4"/>
    <w:rsid w:val="006E671D"/>
    <w:rsid w:val="006E7C28"/>
    <w:rsid w:val="006F07D9"/>
    <w:rsid w:val="006F0A82"/>
    <w:rsid w:val="006F4AC9"/>
    <w:rsid w:val="00700924"/>
    <w:rsid w:val="00702B31"/>
    <w:rsid w:val="00703B3A"/>
    <w:rsid w:val="00705BEA"/>
    <w:rsid w:val="007064FA"/>
    <w:rsid w:val="0070693D"/>
    <w:rsid w:val="00707B5B"/>
    <w:rsid w:val="00707E75"/>
    <w:rsid w:val="007126BF"/>
    <w:rsid w:val="007135B8"/>
    <w:rsid w:val="00714E22"/>
    <w:rsid w:val="00716EC6"/>
    <w:rsid w:val="00720CA3"/>
    <w:rsid w:val="00720F3E"/>
    <w:rsid w:val="007257E3"/>
    <w:rsid w:val="00727049"/>
    <w:rsid w:val="00730232"/>
    <w:rsid w:val="007305A3"/>
    <w:rsid w:val="00733352"/>
    <w:rsid w:val="00734356"/>
    <w:rsid w:val="007343E5"/>
    <w:rsid w:val="00734B93"/>
    <w:rsid w:val="007357A4"/>
    <w:rsid w:val="00743846"/>
    <w:rsid w:val="007461EB"/>
    <w:rsid w:val="0075019B"/>
    <w:rsid w:val="00751727"/>
    <w:rsid w:val="0075291F"/>
    <w:rsid w:val="00754049"/>
    <w:rsid w:val="007552E4"/>
    <w:rsid w:val="0075597F"/>
    <w:rsid w:val="0075599B"/>
    <w:rsid w:val="00756FF0"/>
    <w:rsid w:val="0076296B"/>
    <w:rsid w:val="00763CA1"/>
    <w:rsid w:val="00764FF0"/>
    <w:rsid w:val="007650C0"/>
    <w:rsid w:val="00766689"/>
    <w:rsid w:val="0076721B"/>
    <w:rsid w:val="0077481A"/>
    <w:rsid w:val="00775837"/>
    <w:rsid w:val="00776910"/>
    <w:rsid w:val="0078197D"/>
    <w:rsid w:val="00790E76"/>
    <w:rsid w:val="00791B31"/>
    <w:rsid w:val="00792259"/>
    <w:rsid w:val="00792C52"/>
    <w:rsid w:val="0079387D"/>
    <w:rsid w:val="007A1511"/>
    <w:rsid w:val="007A32FC"/>
    <w:rsid w:val="007A39C9"/>
    <w:rsid w:val="007A4746"/>
    <w:rsid w:val="007A6B56"/>
    <w:rsid w:val="007B16EE"/>
    <w:rsid w:val="007C1FC3"/>
    <w:rsid w:val="007C4A85"/>
    <w:rsid w:val="007C6446"/>
    <w:rsid w:val="007C787A"/>
    <w:rsid w:val="007C7BD9"/>
    <w:rsid w:val="007C7D8B"/>
    <w:rsid w:val="007D26E3"/>
    <w:rsid w:val="007D4FC5"/>
    <w:rsid w:val="007D51CA"/>
    <w:rsid w:val="007D5A05"/>
    <w:rsid w:val="007E63C8"/>
    <w:rsid w:val="007E7952"/>
    <w:rsid w:val="007F1683"/>
    <w:rsid w:val="008012AF"/>
    <w:rsid w:val="00805348"/>
    <w:rsid w:val="00807C03"/>
    <w:rsid w:val="00816E86"/>
    <w:rsid w:val="008259B5"/>
    <w:rsid w:val="0082699B"/>
    <w:rsid w:val="00832E04"/>
    <w:rsid w:val="00835606"/>
    <w:rsid w:val="00841897"/>
    <w:rsid w:val="00844F69"/>
    <w:rsid w:val="0084610B"/>
    <w:rsid w:val="008505A2"/>
    <w:rsid w:val="008518B5"/>
    <w:rsid w:val="008518F2"/>
    <w:rsid w:val="008527B9"/>
    <w:rsid w:val="00854598"/>
    <w:rsid w:val="00855574"/>
    <w:rsid w:val="008568AC"/>
    <w:rsid w:val="008607E4"/>
    <w:rsid w:val="00860AB8"/>
    <w:rsid w:val="00861CC6"/>
    <w:rsid w:val="00865339"/>
    <w:rsid w:val="008670A1"/>
    <w:rsid w:val="008671E0"/>
    <w:rsid w:val="00867261"/>
    <w:rsid w:val="008729CE"/>
    <w:rsid w:val="00880D13"/>
    <w:rsid w:val="008820CD"/>
    <w:rsid w:val="00882E7D"/>
    <w:rsid w:val="00891602"/>
    <w:rsid w:val="00892948"/>
    <w:rsid w:val="00893126"/>
    <w:rsid w:val="008A3A62"/>
    <w:rsid w:val="008A481F"/>
    <w:rsid w:val="008B0E9B"/>
    <w:rsid w:val="008B17CD"/>
    <w:rsid w:val="008C0D67"/>
    <w:rsid w:val="008C22F1"/>
    <w:rsid w:val="008C2EE1"/>
    <w:rsid w:val="008C389B"/>
    <w:rsid w:val="008C69DC"/>
    <w:rsid w:val="008D0283"/>
    <w:rsid w:val="008D05A9"/>
    <w:rsid w:val="008D3323"/>
    <w:rsid w:val="008D511A"/>
    <w:rsid w:val="008D7656"/>
    <w:rsid w:val="008E0E39"/>
    <w:rsid w:val="008E14F1"/>
    <w:rsid w:val="008E6863"/>
    <w:rsid w:val="008F0F0A"/>
    <w:rsid w:val="008F41BC"/>
    <w:rsid w:val="008F4A79"/>
    <w:rsid w:val="00900218"/>
    <w:rsid w:val="00900960"/>
    <w:rsid w:val="00907803"/>
    <w:rsid w:val="009110F9"/>
    <w:rsid w:val="00916F58"/>
    <w:rsid w:val="009200C5"/>
    <w:rsid w:val="00923F58"/>
    <w:rsid w:val="00924F90"/>
    <w:rsid w:val="009250D8"/>
    <w:rsid w:val="00925466"/>
    <w:rsid w:val="009276B4"/>
    <w:rsid w:val="00930579"/>
    <w:rsid w:val="00932F4F"/>
    <w:rsid w:val="00934146"/>
    <w:rsid w:val="00937B36"/>
    <w:rsid w:val="009404B4"/>
    <w:rsid w:val="00942F61"/>
    <w:rsid w:val="0094588D"/>
    <w:rsid w:val="00947DC2"/>
    <w:rsid w:val="00953379"/>
    <w:rsid w:val="0095423B"/>
    <w:rsid w:val="00960E85"/>
    <w:rsid w:val="00966158"/>
    <w:rsid w:val="00971E2A"/>
    <w:rsid w:val="009777AB"/>
    <w:rsid w:val="00977F30"/>
    <w:rsid w:val="00987698"/>
    <w:rsid w:val="00990805"/>
    <w:rsid w:val="009938AA"/>
    <w:rsid w:val="009A19FE"/>
    <w:rsid w:val="009A1CEF"/>
    <w:rsid w:val="009A37C2"/>
    <w:rsid w:val="009B0F5B"/>
    <w:rsid w:val="009B221B"/>
    <w:rsid w:val="009B311E"/>
    <w:rsid w:val="009B363A"/>
    <w:rsid w:val="009C231B"/>
    <w:rsid w:val="009D3F9B"/>
    <w:rsid w:val="009E791A"/>
    <w:rsid w:val="009E7BA2"/>
    <w:rsid w:val="009F509F"/>
    <w:rsid w:val="00A007BE"/>
    <w:rsid w:val="00A01DE0"/>
    <w:rsid w:val="00A049EA"/>
    <w:rsid w:val="00A07A6A"/>
    <w:rsid w:val="00A1014C"/>
    <w:rsid w:val="00A10633"/>
    <w:rsid w:val="00A151A9"/>
    <w:rsid w:val="00A16C68"/>
    <w:rsid w:val="00A27F48"/>
    <w:rsid w:val="00A32802"/>
    <w:rsid w:val="00A32CED"/>
    <w:rsid w:val="00A35A5D"/>
    <w:rsid w:val="00A40890"/>
    <w:rsid w:val="00A42254"/>
    <w:rsid w:val="00A43D4B"/>
    <w:rsid w:val="00A47ABB"/>
    <w:rsid w:val="00A527EA"/>
    <w:rsid w:val="00A54B76"/>
    <w:rsid w:val="00A61268"/>
    <w:rsid w:val="00A623DD"/>
    <w:rsid w:val="00A62FBF"/>
    <w:rsid w:val="00A63528"/>
    <w:rsid w:val="00A6688F"/>
    <w:rsid w:val="00A70C61"/>
    <w:rsid w:val="00A807BE"/>
    <w:rsid w:val="00A825D9"/>
    <w:rsid w:val="00A94483"/>
    <w:rsid w:val="00AA02AF"/>
    <w:rsid w:val="00AA3880"/>
    <w:rsid w:val="00AA624E"/>
    <w:rsid w:val="00AB0C6A"/>
    <w:rsid w:val="00AB3D76"/>
    <w:rsid w:val="00AB7D72"/>
    <w:rsid w:val="00AC497C"/>
    <w:rsid w:val="00AC67CA"/>
    <w:rsid w:val="00AC7721"/>
    <w:rsid w:val="00AD25F2"/>
    <w:rsid w:val="00AD3DFD"/>
    <w:rsid w:val="00AE52FA"/>
    <w:rsid w:val="00AF0FE3"/>
    <w:rsid w:val="00AF55F1"/>
    <w:rsid w:val="00AF5D71"/>
    <w:rsid w:val="00B02738"/>
    <w:rsid w:val="00B0402A"/>
    <w:rsid w:val="00B069C5"/>
    <w:rsid w:val="00B0799B"/>
    <w:rsid w:val="00B10190"/>
    <w:rsid w:val="00B1141F"/>
    <w:rsid w:val="00B1318A"/>
    <w:rsid w:val="00B134EE"/>
    <w:rsid w:val="00B177A7"/>
    <w:rsid w:val="00B249E0"/>
    <w:rsid w:val="00B3586C"/>
    <w:rsid w:val="00B40D86"/>
    <w:rsid w:val="00B40D8B"/>
    <w:rsid w:val="00B532BA"/>
    <w:rsid w:val="00B53314"/>
    <w:rsid w:val="00B5610A"/>
    <w:rsid w:val="00B57B63"/>
    <w:rsid w:val="00B663B4"/>
    <w:rsid w:val="00B666C2"/>
    <w:rsid w:val="00B670B3"/>
    <w:rsid w:val="00B7628A"/>
    <w:rsid w:val="00B779AD"/>
    <w:rsid w:val="00B82536"/>
    <w:rsid w:val="00B863A8"/>
    <w:rsid w:val="00B940E3"/>
    <w:rsid w:val="00B96BBF"/>
    <w:rsid w:val="00BA0EF7"/>
    <w:rsid w:val="00BC329C"/>
    <w:rsid w:val="00BC6F01"/>
    <w:rsid w:val="00BC7078"/>
    <w:rsid w:val="00BD5314"/>
    <w:rsid w:val="00BD7AED"/>
    <w:rsid w:val="00BE458F"/>
    <w:rsid w:val="00BE52BA"/>
    <w:rsid w:val="00BF066A"/>
    <w:rsid w:val="00BF0BA0"/>
    <w:rsid w:val="00BF2594"/>
    <w:rsid w:val="00BF446C"/>
    <w:rsid w:val="00C0134D"/>
    <w:rsid w:val="00C02081"/>
    <w:rsid w:val="00C1065C"/>
    <w:rsid w:val="00C10810"/>
    <w:rsid w:val="00C117DE"/>
    <w:rsid w:val="00C22AC2"/>
    <w:rsid w:val="00C32D12"/>
    <w:rsid w:val="00C41D0C"/>
    <w:rsid w:val="00C4465C"/>
    <w:rsid w:val="00C507C4"/>
    <w:rsid w:val="00C517CF"/>
    <w:rsid w:val="00C52EF7"/>
    <w:rsid w:val="00C55460"/>
    <w:rsid w:val="00C5546A"/>
    <w:rsid w:val="00C567D9"/>
    <w:rsid w:val="00C5704A"/>
    <w:rsid w:val="00C60363"/>
    <w:rsid w:val="00C70FAE"/>
    <w:rsid w:val="00C71F4D"/>
    <w:rsid w:val="00C751FD"/>
    <w:rsid w:val="00C76A97"/>
    <w:rsid w:val="00C76F05"/>
    <w:rsid w:val="00C81EED"/>
    <w:rsid w:val="00C82135"/>
    <w:rsid w:val="00C82B76"/>
    <w:rsid w:val="00C83358"/>
    <w:rsid w:val="00C848D7"/>
    <w:rsid w:val="00C84F91"/>
    <w:rsid w:val="00C9123B"/>
    <w:rsid w:val="00C924B4"/>
    <w:rsid w:val="00CA6525"/>
    <w:rsid w:val="00CB00FC"/>
    <w:rsid w:val="00CB6C8E"/>
    <w:rsid w:val="00CC4A7F"/>
    <w:rsid w:val="00CC7CF3"/>
    <w:rsid w:val="00CD3546"/>
    <w:rsid w:val="00CD3A64"/>
    <w:rsid w:val="00CE0E6D"/>
    <w:rsid w:val="00CE71D1"/>
    <w:rsid w:val="00CF2595"/>
    <w:rsid w:val="00CF5586"/>
    <w:rsid w:val="00D0014C"/>
    <w:rsid w:val="00D023F5"/>
    <w:rsid w:val="00D04B2D"/>
    <w:rsid w:val="00D04D2F"/>
    <w:rsid w:val="00D073A1"/>
    <w:rsid w:val="00D16262"/>
    <w:rsid w:val="00D17063"/>
    <w:rsid w:val="00D20600"/>
    <w:rsid w:val="00D22337"/>
    <w:rsid w:val="00D23BE8"/>
    <w:rsid w:val="00D26F10"/>
    <w:rsid w:val="00D34132"/>
    <w:rsid w:val="00D3528C"/>
    <w:rsid w:val="00D411A8"/>
    <w:rsid w:val="00D42507"/>
    <w:rsid w:val="00D4508D"/>
    <w:rsid w:val="00D46ABF"/>
    <w:rsid w:val="00D53361"/>
    <w:rsid w:val="00D551EC"/>
    <w:rsid w:val="00D6170E"/>
    <w:rsid w:val="00D6360F"/>
    <w:rsid w:val="00D64285"/>
    <w:rsid w:val="00D654B2"/>
    <w:rsid w:val="00D65F39"/>
    <w:rsid w:val="00D677FD"/>
    <w:rsid w:val="00D701EE"/>
    <w:rsid w:val="00D71CC9"/>
    <w:rsid w:val="00D73483"/>
    <w:rsid w:val="00D76517"/>
    <w:rsid w:val="00D773B0"/>
    <w:rsid w:val="00D831D4"/>
    <w:rsid w:val="00D83C4E"/>
    <w:rsid w:val="00D84947"/>
    <w:rsid w:val="00D87424"/>
    <w:rsid w:val="00D87E1B"/>
    <w:rsid w:val="00D953B7"/>
    <w:rsid w:val="00D954E6"/>
    <w:rsid w:val="00D95C96"/>
    <w:rsid w:val="00DA262F"/>
    <w:rsid w:val="00DA7AA7"/>
    <w:rsid w:val="00DB5B0B"/>
    <w:rsid w:val="00DB5F6B"/>
    <w:rsid w:val="00DC5795"/>
    <w:rsid w:val="00DD1D59"/>
    <w:rsid w:val="00DD244C"/>
    <w:rsid w:val="00DD41C6"/>
    <w:rsid w:val="00DE18CD"/>
    <w:rsid w:val="00DE209B"/>
    <w:rsid w:val="00DE2DED"/>
    <w:rsid w:val="00DE345B"/>
    <w:rsid w:val="00DE3971"/>
    <w:rsid w:val="00DE793C"/>
    <w:rsid w:val="00DF658B"/>
    <w:rsid w:val="00DF6DF0"/>
    <w:rsid w:val="00E031B1"/>
    <w:rsid w:val="00E039C8"/>
    <w:rsid w:val="00E23154"/>
    <w:rsid w:val="00E251FA"/>
    <w:rsid w:val="00E256E4"/>
    <w:rsid w:val="00E27BFD"/>
    <w:rsid w:val="00E27E65"/>
    <w:rsid w:val="00E316DD"/>
    <w:rsid w:val="00E36767"/>
    <w:rsid w:val="00E4056F"/>
    <w:rsid w:val="00E4080B"/>
    <w:rsid w:val="00E421C4"/>
    <w:rsid w:val="00E44ADF"/>
    <w:rsid w:val="00E53332"/>
    <w:rsid w:val="00E54D70"/>
    <w:rsid w:val="00E6519E"/>
    <w:rsid w:val="00E652C4"/>
    <w:rsid w:val="00E673C4"/>
    <w:rsid w:val="00E70B41"/>
    <w:rsid w:val="00E737B8"/>
    <w:rsid w:val="00E74F2A"/>
    <w:rsid w:val="00E81BF4"/>
    <w:rsid w:val="00E83A46"/>
    <w:rsid w:val="00E85DB4"/>
    <w:rsid w:val="00E85E27"/>
    <w:rsid w:val="00E87A36"/>
    <w:rsid w:val="00E91DA4"/>
    <w:rsid w:val="00E92AB8"/>
    <w:rsid w:val="00E97E67"/>
    <w:rsid w:val="00EA299A"/>
    <w:rsid w:val="00EA6D05"/>
    <w:rsid w:val="00EB1910"/>
    <w:rsid w:val="00EB30A8"/>
    <w:rsid w:val="00EB711B"/>
    <w:rsid w:val="00EC0AD0"/>
    <w:rsid w:val="00EC5E77"/>
    <w:rsid w:val="00ED5D25"/>
    <w:rsid w:val="00ED7116"/>
    <w:rsid w:val="00ED7F81"/>
    <w:rsid w:val="00EE0D7A"/>
    <w:rsid w:val="00EE185A"/>
    <w:rsid w:val="00EE5697"/>
    <w:rsid w:val="00EE683F"/>
    <w:rsid w:val="00EF0765"/>
    <w:rsid w:val="00EF0DC8"/>
    <w:rsid w:val="00EF76F8"/>
    <w:rsid w:val="00F03197"/>
    <w:rsid w:val="00F04398"/>
    <w:rsid w:val="00F054E2"/>
    <w:rsid w:val="00F0658E"/>
    <w:rsid w:val="00F07418"/>
    <w:rsid w:val="00F138B2"/>
    <w:rsid w:val="00F14F85"/>
    <w:rsid w:val="00F150AF"/>
    <w:rsid w:val="00F1715F"/>
    <w:rsid w:val="00F204C7"/>
    <w:rsid w:val="00F21CDE"/>
    <w:rsid w:val="00F2692F"/>
    <w:rsid w:val="00F3378F"/>
    <w:rsid w:val="00F351DC"/>
    <w:rsid w:val="00F400D6"/>
    <w:rsid w:val="00F40794"/>
    <w:rsid w:val="00F5560F"/>
    <w:rsid w:val="00F7140F"/>
    <w:rsid w:val="00F722B9"/>
    <w:rsid w:val="00F73268"/>
    <w:rsid w:val="00F74B45"/>
    <w:rsid w:val="00F777D6"/>
    <w:rsid w:val="00F85149"/>
    <w:rsid w:val="00F87549"/>
    <w:rsid w:val="00F93B40"/>
    <w:rsid w:val="00FA112A"/>
    <w:rsid w:val="00FA1151"/>
    <w:rsid w:val="00FA1775"/>
    <w:rsid w:val="00FA358B"/>
    <w:rsid w:val="00FA3E68"/>
    <w:rsid w:val="00FA6405"/>
    <w:rsid w:val="00FA6888"/>
    <w:rsid w:val="00FA746A"/>
    <w:rsid w:val="00FB07CB"/>
    <w:rsid w:val="00FB30B8"/>
    <w:rsid w:val="00FB3B44"/>
    <w:rsid w:val="00FB4666"/>
    <w:rsid w:val="00FB5264"/>
    <w:rsid w:val="00FC111A"/>
    <w:rsid w:val="00FD09F3"/>
    <w:rsid w:val="00FD1403"/>
    <w:rsid w:val="00FD1416"/>
    <w:rsid w:val="00FD27BD"/>
    <w:rsid w:val="00FD31CF"/>
    <w:rsid w:val="00FD6D3F"/>
    <w:rsid w:val="00FD7134"/>
    <w:rsid w:val="00FE14E8"/>
    <w:rsid w:val="00FE31D7"/>
    <w:rsid w:val="00FE5F45"/>
    <w:rsid w:val="00FE61E3"/>
    <w:rsid w:val="00FE7D7A"/>
    <w:rsid w:val="00FF01F6"/>
    <w:rsid w:val="00FF27AF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41"/>
    <w:rPr>
      <w:rFonts w:ascii="Verdana" w:hAnsi="Verdan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2224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2224B"/>
  </w:style>
  <w:style w:type="paragraph" w:styleId="Textodeglobo">
    <w:name w:val="Balloon Text"/>
    <w:basedOn w:val="Normal"/>
    <w:link w:val="TextodegloboCar"/>
    <w:rsid w:val="009009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0960"/>
    <w:rPr>
      <w:rFonts w:ascii="Tahoma" w:hAnsi="Tahoma" w:cs="Tahoma"/>
      <w:sz w:val="16"/>
      <w:szCs w:val="16"/>
      <w:lang w:val="es-ES" w:eastAsia="en-US"/>
    </w:rPr>
  </w:style>
  <w:style w:type="character" w:styleId="nfasis">
    <w:name w:val="Emphasis"/>
    <w:basedOn w:val="Fuentedeprrafopredeter"/>
    <w:qFormat/>
    <w:rsid w:val="0075019B"/>
    <w:rPr>
      <w:i/>
      <w:iCs/>
    </w:rPr>
  </w:style>
  <w:style w:type="paragraph" w:styleId="Prrafodelista">
    <w:name w:val="List Paragraph"/>
    <w:basedOn w:val="Normal"/>
    <w:uiPriority w:val="34"/>
    <w:qFormat/>
    <w:rsid w:val="00373BB8"/>
    <w:pPr>
      <w:ind w:left="720"/>
      <w:contextualSpacing/>
    </w:pPr>
  </w:style>
  <w:style w:type="paragraph" w:styleId="Piedepgina">
    <w:name w:val="footer"/>
    <w:basedOn w:val="Normal"/>
    <w:link w:val="PiedepginaCar"/>
    <w:rsid w:val="00D701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701EE"/>
    <w:rPr>
      <w:rFonts w:ascii="Verdana" w:hAnsi="Verdana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FB46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rsid w:val="00716EC6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607E4"/>
    <w:rPr>
      <w:b/>
      <w:bCs/>
    </w:rPr>
  </w:style>
  <w:style w:type="paragraph" w:styleId="Textocomentario">
    <w:name w:val="annotation text"/>
    <w:basedOn w:val="Normal"/>
    <w:link w:val="TextocomentarioCar"/>
    <w:rsid w:val="003C30B5"/>
    <w:rPr>
      <w:rFonts w:ascii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3C30B5"/>
    <w:rPr>
      <w:lang w:val="es-ES" w:eastAsia="es-ES"/>
    </w:rPr>
  </w:style>
  <w:style w:type="character" w:styleId="Refdecomentario">
    <w:name w:val="annotation reference"/>
    <w:rsid w:val="003C30B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357A4"/>
    <w:rPr>
      <w:rFonts w:ascii="Verdana" w:hAnsi="Verdana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357A4"/>
    <w:rPr>
      <w:rFonts w:ascii="Verdana" w:hAnsi="Verdana"/>
      <w:b/>
      <w:bCs/>
      <w:lang w:val="es-ES" w:eastAsia="en-US"/>
    </w:rPr>
  </w:style>
  <w:style w:type="paragraph" w:styleId="Revisin">
    <w:name w:val="Revision"/>
    <w:hidden/>
    <w:uiPriority w:val="99"/>
    <w:semiHidden/>
    <w:rsid w:val="009938AA"/>
    <w:rPr>
      <w:rFonts w:ascii="Verdana" w:hAnsi="Verdana"/>
      <w:sz w:val="22"/>
      <w:szCs w:val="22"/>
      <w:lang w:val="es-ES" w:eastAsia="en-US"/>
    </w:rPr>
  </w:style>
  <w:style w:type="character" w:customStyle="1" w:styleId="subtit">
    <w:name w:val="subtit"/>
    <w:basedOn w:val="Fuentedeprrafopredeter"/>
    <w:rsid w:val="00520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66470-48DF-4552-9EF7-60DE2D7D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Aduana</cp:lastModifiedBy>
  <cp:revision>2</cp:revision>
  <cp:lastPrinted>2016-02-05T18:06:00Z</cp:lastPrinted>
  <dcterms:created xsi:type="dcterms:W3CDTF">2016-02-05T18:18:00Z</dcterms:created>
  <dcterms:modified xsi:type="dcterms:W3CDTF">2016-02-05T18:18:00Z</dcterms:modified>
</cp:coreProperties>
</file>