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75" w:rsidRDefault="00952D18" w:rsidP="00646E52">
      <w:pPr>
        <w:spacing w:before="100" w:beforeAutospacing="1" w:after="100" w:afterAutospacing="1" w:line="408" w:lineRule="auto"/>
        <w:ind w:left="0"/>
        <w:rPr>
          <w:rFonts w:ascii="Tahoma" w:eastAsia="Times New Roman" w:hAnsi="Tahoma" w:cs="Tahoma"/>
          <w:color w:val="333333"/>
          <w:sz w:val="24"/>
          <w:szCs w:val="24"/>
          <w:lang w:eastAsia="es-ES"/>
        </w:rPr>
      </w:pPr>
      <w:bookmarkStart w:id="0" w:name="_GoBack"/>
      <w:bookmarkEnd w:id="0"/>
      <w:r>
        <w:rPr>
          <w:rFonts w:ascii="Tahoma" w:eastAsia="Times New Roman" w:hAnsi="Tahoma" w:cs="Tahoma"/>
          <w:b/>
          <w:bCs/>
          <w:color w:val="333333"/>
          <w:sz w:val="24"/>
          <w:szCs w:val="24"/>
          <w:lang w:eastAsia="es-ES"/>
        </w:rPr>
        <w:t xml:space="preserve">Instrucciones de llenado </w:t>
      </w:r>
      <w:r w:rsidR="00646E52" w:rsidRPr="006277BF">
        <w:rPr>
          <w:rFonts w:ascii="Tahoma" w:eastAsia="Times New Roman" w:hAnsi="Tahoma" w:cs="Tahoma"/>
          <w:b/>
          <w:bCs/>
          <w:color w:val="333333"/>
          <w:sz w:val="24"/>
          <w:szCs w:val="24"/>
          <w:lang w:eastAsia="es-ES"/>
        </w:rPr>
        <w:t>formulario "Declaración Jurada del Valor y sus Elementos"</w:t>
      </w:r>
      <w:r w:rsidR="00646E52" w:rsidRPr="006277BF">
        <w:rPr>
          <w:rFonts w:ascii="Tahoma" w:eastAsia="Times New Roman" w:hAnsi="Tahoma" w:cs="Tahoma"/>
          <w:color w:val="333333"/>
          <w:sz w:val="24"/>
          <w:szCs w:val="24"/>
          <w:lang w:eastAsia="es-ES"/>
        </w:rPr>
        <w:t> </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 I</w:t>
      </w:r>
      <w:r w:rsidR="003D7EF1">
        <w:rPr>
          <w:rFonts w:ascii="Tahoma" w:eastAsia="Times New Roman" w:hAnsi="Tahoma" w:cs="Tahoma"/>
          <w:b/>
          <w:bCs/>
          <w:color w:val="333333"/>
          <w:sz w:val="21"/>
          <w:szCs w:val="21"/>
          <w:lang w:eastAsia="es-ES"/>
        </w:rPr>
        <w:t>DENTIFICACION DE LAS PARTES</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1.-</w:t>
      </w:r>
      <w:r w:rsidR="00D72714">
        <w:rPr>
          <w:rFonts w:ascii="Tahoma" w:eastAsia="Times New Roman" w:hAnsi="Tahoma" w:cs="Tahoma"/>
          <w:b/>
          <w:color w:val="333333"/>
          <w:sz w:val="21"/>
          <w:szCs w:val="21"/>
          <w:lang w:eastAsia="es-ES"/>
        </w:rPr>
        <w:t xml:space="preserve"> Despachador responsable</w:t>
      </w:r>
      <w:r w:rsidRPr="006F527D">
        <w:rPr>
          <w:rFonts w:ascii="Tahoma" w:eastAsia="Times New Roman" w:hAnsi="Tahoma" w:cs="Tahoma"/>
          <w:b/>
          <w:color w:val="333333"/>
          <w:sz w:val="21"/>
          <w:szCs w:val="21"/>
          <w:lang w:eastAsia="es-ES"/>
        </w:rPr>
        <w:t>:</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Indique el nombre del despachador ante el cual se presenta la "Declaración Ju</w:t>
      </w:r>
      <w:r w:rsidR="008E4186">
        <w:rPr>
          <w:rFonts w:ascii="Tahoma" w:eastAsia="Times New Roman" w:hAnsi="Tahoma" w:cs="Tahoma"/>
          <w:color w:val="333333"/>
          <w:sz w:val="21"/>
          <w:szCs w:val="21"/>
          <w:lang w:eastAsia="es-ES"/>
        </w:rPr>
        <w:t>rada"</w:t>
      </w:r>
      <w:r w:rsidR="00103748">
        <w:rPr>
          <w:rFonts w:ascii="Tahoma" w:eastAsia="Times New Roman" w:hAnsi="Tahoma" w:cs="Tahoma"/>
          <w:color w:val="333333"/>
          <w:sz w:val="21"/>
          <w:szCs w:val="21"/>
          <w:lang w:eastAsia="es-ES"/>
        </w:rPr>
        <w:t>, aun cuando éste forme parte de una sociedad de Agentes de Aduana.</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2.-</w:t>
      </w:r>
      <w:r w:rsidRPr="006F527D">
        <w:rPr>
          <w:rFonts w:ascii="Tahoma" w:eastAsia="Times New Roman" w:hAnsi="Tahoma" w:cs="Tahoma"/>
          <w:b/>
          <w:color w:val="333333"/>
          <w:sz w:val="21"/>
          <w:szCs w:val="21"/>
          <w:lang w:eastAsia="es-ES"/>
        </w:rPr>
        <w:t xml:space="preserve"> Importador o Comprador:</w:t>
      </w:r>
    </w:p>
    <w:p w:rsidR="008E4186"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el nombre o razón social, el RUT, y la dirección del importador o comprador. </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En "Nivel" marque</w:t>
      </w:r>
      <w:r w:rsidR="003D7EF1">
        <w:rPr>
          <w:rFonts w:ascii="Tahoma" w:eastAsia="Times New Roman" w:hAnsi="Tahoma" w:cs="Tahoma"/>
          <w:color w:val="333333"/>
          <w:sz w:val="21"/>
          <w:szCs w:val="21"/>
          <w:lang w:eastAsia="es-ES"/>
        </w:rPr>
        <w:t xml:space="preserve"> con una “X”</w:t>
      </w:r>
      <w:r w:rsidR="008E4186">
        <w:rPr>
          <w:rFonts w:ascii="Tahoma" w:eastAsia="Times New Roman" w:hAnsi="Tahoma" w:cs="Tahoma"/>
          <w:color w:val="333333"/>
          <w:sz w:val="21"/>
          <w:szCs w:val="21"/>
          <w:lang w:eastAsia="es-ES"/>
        </w:rPr>
        <w:t xml:space="preserve"> lo que corresponda </w:t>
      </w:r>
      <w:r w:rsidR="00A91F07">
        <w:rPr>
          <w:rFonts w:ascii="Tahoma" w:eastAsia="Times New Roman" w:hAnsi="Tahoma" w:cs="Tahoma"/>
          <w:color w:val="333333"/>
          <w:sz w:val="21"/>
          <w:szCs w:val="21"/>
          <w:lang w:eastAsia="es-ES"/>
        </w:rPr>
        <w:t>considerando los siguientes conceptos.</w:t>
      </w:r>
    </w:p>
    <w:p w:rsidR="008E4186" w:rsidRPr="008E4186" w:rsidRDefault="003D7EF1" w:rsidP="008E4186">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Mayorista</w:t>
      </w:r>
      <w:r w:rsidR="008E4186" w:rsidRPr="008E4186">
        <w:rPr>
          <w:rFonts w:ascii="Tahoma" w:eastAsia="Times New Roman" w:hAnsi="Tahoma" w:cs="Tahoma"/>
          <w:b/>
          <w:color w:val="333333"/>
          <w:sz w:val="21"/>
          <w:szCs w:val="21"/>
          <w:lang w:val="es-CL" w:eastAsia="es-ES"/>
        </w:rPr>
        <w:t>:</w:t>
      </w:r>
      <w:r w:rsidR="008E4186" w:rsidRPr="008E4186">
        <w:rPr>
          <w:rFonts w:ascii="Tahoma" w:eastAsia="Times New Roman" w:hAnsi="Tahoma" w:cs="Tahoma"/>
          <w:color w:val="333333"/>
          <w:sz w:val="21"/>
          <w:szCs w:val="21"/>
          <w:lang w:val="es-CL" w:eastAsia="es-ES"/>
        </w:rPr>
        <w:t xml:space="preserve"> es el importador-comprador que adquiere grandes cantidades y/o volúmenes de mercancías o insumos comerciales. Las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cantidades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se encuentran expresamente definidas entre las partes (mayorista y fabricante o distribuidor) en acuerdos o contratos comerciales. Generalmente, son vendidas a minoristas o consumidores finales.</w:t>
      </w:r>
    </w:p>
    <w:p w:rsidR="008E4186" w:rsidRDefault="003D7EF1" w:rsidP="008E4186">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Minorista</w:t>
      </w:r>
      <w:r w:rsidR="008E4186" w:rsidRPr="008E4186">
        <w:rPr>
          <w:rFonts w:ascii="Tahoma" w:eastAsia="Times New Roman" w:hAnsi="Tahoma" w:cs="Tahoma"/>
          <w:b/>
          <w:color w:val="333333"/>
          <w:sz w:val="21"/>
          <w:szCs w:val="21"/>
          <w:lang w:val="es-CL" w:eastAsia="es-ES"/>
        </w:rPr>
        <w:t>:</w:t>
      </w:r>
      <w:r w:rsidR="008E4186" w:rsidRPr="008E4186">
        <w:rPr>
          <w:rFonts w:ascii="Tahoma" w:eastAsia="Times New Roman" w:hAnsi="Tahoma" w:cs="Tahoma"/>
          <w:color w:val="333333"/>
          <w:sz w:val="21"/>
          <w:szCs w:val="21"/>
          <w:lang w:val="es-CL" w:eastAsia="es-ES"/>
        </w:rPr>
        <w:t xml:space="preserve"> es el importador-comprador que adquiere cantidades o volúmenes menores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de mercancías o insumos comerciales que un nivel mayorista. Las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cantidades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se encuentran expresamente definidas entre las partes (minorista y fabricante o distribuidor o mayorista) en acuerdos o contratos comerciales. Generalmente, son vendidas al consumidor final.</w:t>
      </w:r>
    </w:p>
    <w:p w:rsidR="00952D18" w:rsidRDefault="00952D18" w:rsidP="00952D18">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Usuario</w:t>
      </w:r>
      <w:r w:rsidRPr="008E4186">
        <w:rPr>
          <w:rFonts w:ascii="Tahoma" w:eastAsia="Times New Roman" w:hAnsi="Tahoma" w:cs="Tahoma"/>
          <w:b/>
          <w:color w:val="333333"/>
          <w:sz w:val="21"/>
          <w:szCs w:val="21"/>
          <w:lang w:val="es-CL" w:eastAsia="es-ES"/>
        </w:rPr>
        <w:t xml:space="preserve">: </w:t>
      </w:r>
      <w:r w:rsidRPr="008E4186">
        <w:rPr>
          <w:rFonts w:ascii="Tahoma" w:eastAsia="Times New Roman" w:hAnsi="Tahoma" w:cs="Tahoma"/>
          <w:color w:val="333333"/>
          <w:sz w:val="21"/>
          <w:szCs w:val="21"/>
          <w:lang w:val="es-CL" w:eastAsia="es-ES"/>
        </w:rPr>
        <w:t>es el importador-comprador que adquiere al fabricante, vendedor o distribuidor, mercancías o insumos para su propio uso y/o consumo.</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3.-</w:t>
      </w:r>
      <w:r w:rsidRPr="006F527D">
        <w:rPr>
          <w:rFonts w:ascii="Tahoma" w:eastAsia="Times New Roman" w:hAnsi="Tahoma" w:cs="Tahoma"/>
          <w:b/>
          <w:color w:val="333333"/>
          <w:sz w:val="21"/>
          <w:szCs w:val="21"/>
          <w:lang w:eastAsia="es-ES"/>
        </w:rPr>
        <w:t xml:space="preserve"> Vendedor o Proveedor:</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el nombre o razón </w:t>
      </w:r>
      <w:r w:rsidR="00A91F07">
        <w:rPr>
          <w:rFonts w:ascii="Tahoma" w:eastAsia="Times New Roman" w:hAnsi="Tahoma" w:cs="Tahoma"/>
          <w:color w:val="333333"/>
          <w:sz w:val="21"/>
          <w:szCs w:val="21"/>
          <w:lang w:eastAsia="es-ES"/>
        </w:rPr>
        <w:t xml:space="preserve">social </w:t>
      </w:r>
      <w:r w:rsidRPr="00646E52">
        <w:rPr>
          <w:rFonts w:ascii="Tahoma" w:eastAsia="Times New Roman" w:hAnsi="Tahoma" w:cs="Tahoma"/>
          <w:color w:val="333333"/>
          <w:sz w:val="21"/>
          <w:szCs w:val="21"/>
          <w:lang w:eastAsia="es-ES"/>
        </w:rPr>
        <w:t>y la dirección del vendedor o proveedor</w:t>
      </w:r>
      <w:r w:rsidR="00A91F07">
        <w:rPr>
          <w:rFonts w:ascii="Tahoma" w:eastAsia="Times New Roman" w:hAnsi="Tahoma" w:cs="Tahoma"/>
          <w:color w:val="333333"/>
          <w:sz w:val="21"/>
          <w:szCs w:val="21"/>
          <w:lang w:eastAsia="es-ES"/>
        </w:rPr>
        <w:t>.</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Conceptos de Vendedor y Proveedor desde el punto de vista aduanero son los siguientes:</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Vendedor: Persona natural o jurídica que realiza la venta de las mercancías al importador o comprador.</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lastRenderedPageBreak/>
        <w:t xml:space="preserve">Proveedor: Persona natural o jurídica que provee o envía mercancías al país de importación, no como consecuencia de una venta, </w:t>
      </w:r>
      <w:r w:rsidR="00952793">
        <w:rPr>
          <w:rFonts w:ascii="Tahoma" w:eastAsia="Times New Roman" w:hAnsi="Tahoma" w:cs="Tahoma"/>
          <w:color w:val="333333"/>
          <w:sz w:val="21"/>
          <w:szCs w:val="21"/>
          <w:lang w:eastAsia="es-ES"/>
        </w:rPr>
        <w:t>ej.</w:t>
      </w:r>
      <w:r>
        <w:rPr>
          <w:rFonts w:ascii="Tahoma" w:eastAsia="Times New Roman" w:hAnsi="Tahoma" w:cs="Tahoma"/>
          <w:color w:val="333333"/>
          <w:sz w:val="21"/>
          <w:szCs w:val="21"/>
          <w:lang w:eastAsia="es-ES"/>
        </w:rPr>
        <w:t>: consignación de mercancías, leasing o arrendamiento, etc.</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II.- I</w:t>
      </w:r>
      <w:r w:rsidR="003D7EF1">
        <w:rPr>
          <w:rFonts w:ascii="Tahoma" w:eastAsia="Times New Roman" w:hAnsi="Tahoma" w:cs="Tahoma"/>
          <w:b/>
          <w:bCs/>
          <w:color w:val="333333"/>
          <w:sz w:val="21"/>
          <w:szCs w:val="21"/>
          <w:lang w:eastAsia="es-ES"/>
        </w:rPr>
        <w:t>NFORMACION DE LA COMPRAVENTA</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4.-</w:t>
      </w:r>
      <w:r w:rsidRPr="006F527D">
        <w:rPr>
          <w:rFonts w:ascii="Tahoma" w:eastAsia="Times New Roman" w:hAnsi="Tahoma" w:cs="Tahoma"/>
          <w:b/>
          <w:color w:val="333333"/>
          <w:sz w:val="21"/>
          <w:szCs w:val="21"/>
          <w:lang w:eastAsia="es-ES"/>
        </w:rPr>
        <w:t xml:space="preserve"> </w:t>
      </w:r>
      <w:r w:rsidR="00D72714">
        <w:rPr>
          <w:rFonts w:ascii="Tahoma" w:eastAsia="Times New Roman" w:hAnsi="Tahoma" w:cs="Tahoma"/>
          <w:b/>
          <w:color w:val="333333"/>
          <w:sz w:val="21"/>
          <w:szCs w:val="21"/>
          <w:lang w:eastAsia="es-ES"/>
        </w:rPr>
        <w:t>R</w:t>
      </w:r>
      <w:r w:rsidRPr="006F527D">
        <w:rPr>
          <w:rFonts w:ascii="Tahoma" w:eastAsia="Times New Roman" w:hAnsi="Tahoma" w:cs="Tahoma"/>
          <w:b/>
          <w:color w:val="333333"/>
          <w:sz w:val="21"/>
          <w:szCs w:val="21"/>
          <w:lang w:eastAsia="es-ES"/>
        </w:rPr>
        <w:t>epresentante en Chile del vendedor extranjero/tipo de representación:</w:t>
      </w:r>
    </w:p>
    <w:p w:rsidR="00646E52" w:rsidRPr="00646E52" w:rsidRDefault="00D72714"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 xml:space="preserve">“X” la opción </w:t>
      </w:r>
      <w:r w:rsidRPr="00646E52">
        <w:rPr>
          <w:rFonts w:ascii="Tahoma" w:eastAsia="Times New Roman" w:hAnsi="Tahoma" w:cs="Tahoma"/>
          <w:color w:val="333333"/>
          <w:sz w:val="21"/>
          <w:szCs w:val="21"/>
          <w:lang w:eastAsia="es-ES"/>
        </w:rPr>
        <w:t>que corresponda (Si/No)</w:t>
      </w:r>
      <w:r>
        <w:rPr>
          <w:rFonts w:ascii="Tahoma" w:eastAsia="Times New Roman" w:hAnsi="Tahoma" w:cs="Tahoma"/>
          <w:color w:val="333333"/>
          <w:sz w:val="21"/>
          <w:szCs w:val="21"/>
          <w:lang w:eastAsia="es-ES"/>
        </w:rPr>
        <w:t xml:space="preserve">, de ser afirmativa la </w:t>
      </w:r>
      <w:r w:rsidR="00852D2F">
        <w:rPr>
          <w:rFonts w:ascii="Tahoma" w:eastAsia="Times New Roman" w:hAnsi="Tahoma" w:cs="Tahoma"/>
          <w:color w:val="333333"/>
          <w:sz w:val="21"/>
          <w:szCs w:val="21"/>
          <w:lang w:eastAsia="es-ES"/>
        </w:rPr>
        <w:t xml:space="preserve">respuesta, </w:t>
      </w:r>
      <w:r>
        <w:rPr>
          <w:rFonts w:ascii="Tahoma" w:eastAsia="Times New Roman" w:hAnsi="Tahoma" w:cs="Tahoma"/>
          <w:color w:val="333333"/>
          <w:sz w:val="21"/>
          <w:szCs w:val="21"/>
          <w:lang w:eastAsia="es-ES"/>
        </w:rPr>
        <w:t>i</w:t>
      </w:r>
      <w:r w:rsidR="00646E52" w:rsidRPr="00646E52">
        <w:rPr>
          <w:rFonts w:ascii="Tahoma" w:eastAsia="Times New Roman" w:hAnsi="Tahoma" w:cs="Tahoma"/>
          <w:color w:val="333333"/>
          <w:sz w:val="21"/>
          <w:szCs w:val="21"/>
          <w:lang w:eastAsia="es-ES"/>
        </w:rPr>
        <w:t xml:space="preserve">ndique el nombre o razón social del representante en Chile del vendedor extranjero y </w:t>
      </w:r>
      <w:r w:rsidR="003F698D">
        <w:rPr>
          <w:rFonts w:ascii="Tahoma" w:eastAsia="Times New Roman" w:hAnsi="Tahoma" w:cs="Tahoma"/>
          <w:color w:val="333333"/>
          <w:sz w:val="21"/>
          <w:szCs w:val="21"/>
          <w:lang w:eastAsia="es-ES"/>
        </w:rPr>
        <w:t>m</w:t>
      </w:r>
      <w:r w:rsidR="003F698D" w:rsidRPr="00646E52">
        <w:rPr>
          <w:rFonts w:ascii="Tahoma" w:eastAsia="Times New Roman" w:hAnsi="Tahoma" w:cs="Tahoma"/>
          <w:color w:val="333333"/>
          <w:sz w:val="21"/>
          <w:szCs w:val="21"/>
          <w:lang w:eastAsia="es-ES"/>
        </w:rPr>
        <w:t xml:space="preserve">arque con una </w:t>
      </w:r>
      <w:r w:rsidR="003F698D">
        <w:rPr>
          <w:rFonts w:ascii="Tahoma" w:eastAsia="Times New Roman" w:hAnsi="Tahoma" w:cs="Tahoma"/>
          <w:color w:val="333333"/>
          <w:sz w:val="21"/>
          <w:szCs w:val="21"/>
          <w:lang w:eastAsia="es-ES"/>
        </w:rPr>
        <w:t xml:space="preserve">“X” </w:t>
      </w:r>
      <w:r w:rsidR="00646E52" w:rsidRPr="00646E52">
        <w:rPr>
          <w:rFonts w:ascii="Tahoma" w:eastAsia="Times New Roman" w:hAnsi="Tahoma" w:cs="Tahoma"/>
          <w:color w:val="333333"/>
          <w:sz w:val="21"/>
          <w:szCs w:val="21"/>
          <w:lang w:eastAsia="es-ES"/>
        </w:rPr>
        <w:t>el tipo de representación</w:t>
      </w:r>
      <w:r w:rsidR="00A10F59">
        <w:rPr>
          <w:rFonts w:ascii="Tahoma" w:eastAsia="Times New Roman" w:hAnsi="Tahoma" w:cs="Tahoma"/>
          <w:color w:val="333333"/>
          <w:sz w:val="21"/>
          <w:szCs w:val="21"/>
          <w:lang w:eastAsia="es-ES"/>
        </w:rPr>
        <w:t>, según se indica en formulario.</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5.-</w:t>
      </w:r>
      <w:r w:rsidRPr="006F527D">
        <w:rPr>
          <w:rFonts w:ascii="Tahoma" w:eastAsia="Times New Roman" w:hAnsi="Tahoma" w:cs="Tahoma"/>
          <w:b/>
          <w:color w:val="333333"/>
          <w:sz w:val="21"/>
          <w:szCs w:val="21"/>
          <w:lang w:eastAsia="es-ES"/>
        </w:rPr>
        <w:t xml:space="preserve"> Factura Nº/Fecha/</w:t>
      </w:r>
      <w:r w:rsidR="003F698D" w:rsidRPr="006F527D">
        <w:rPr>
          <w:rFonts w:ascii="Tahoma" w:eastAsia="Times New Roman" w:hAnsi="Tahoma" w:cs="Tahoma"/>
          <w:b/>
          <w:color w:val="333333"/>
          <w:sz w:val="21"/>
          <w:szCs w:val="21"/>
          <w:lang w:eastAsia="es-ES"/>
        </w:rPr>
        <w:t>Cláusula</w:t>
      </w:r>
      <w:r w:rsidRPr="006F527D">
        <w:rPr>
          <w:rFonts w:ascii="Tahoma" w:eastAsia="Times New Roman" w:hAnsi="Tahoma" w:cs="Tahoma"/>
          <w:b/>
          <w:color w:val="333333"/>
          <w:sz w:val="21"/>
          <w:szCs w:val="21"/>
          <w:lang w:eastAsia="es-ES"/>
        </w:rPr>
        <w:t>:</w:t>
      </w:r>
    </w:p>
    <w:p w:rsidR="00646E52" w:rsidRPr="00646E52" w:rsidRDefault="00911031"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Indique el Nº(</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y fecha</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xml:space="preserve"> de la</w:t>
      </w:r>
      <w:r>
        <w:rPr>
          <w:rFonts w:ascii="Tahoma" w:eastAsia="Times New Roman" w:hAnsi="Tahoma" w:cs="Tahoma"/>
          <w:color w:val="333333"/>
          <w:sz w:val="21"/>
          <w:szCs w:val="21"/>
          <w:lang w:eastAsia="es-ES"/>
        </w:rPr>
        <w:t>(s)</w:t>
      </w:r>
      <w:r w:rsidR="00646E52" w:rsidRPr="00646E52">
        <w:rPr>
          <w:rFonts w:ascii="Tahoma" w:eastAsia="Times New Roman" w:hAnsi="Tahoma" w:cs="Tahoma"/>
          <w:color w:val="333333"/>
          <w:sz w:val="21"/>
          <w:szCs w:val="21"/>
          <w:lang w:eastAsia="es-ES"/>
        </w:rPr>
        <w:t xml:space="preserve"> emisión</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es</w:t>
      </w:r>
      <w:r>
        <w:rPr>
          <w:rFonts w:ascii="Tahoma" w:eastAsia="Times New Roman" w:hAnsi="Tahoma" w:cs="Tahoma"/>
          <w:color w:val="333333"/>
          <w:sz w:val="21"/>
          <w:szCs w:val="21"/>
          <w:lang w:eastAsia="es-ES"/>
        </w:rPr>
        <w:t>) de la</w:t>
      </w:r>
      <w:r w:rsidR="006337FF">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 xml:space="preserve"> factura(</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xml:space="preserve"> del vendedor extranjero y la </w:t>
      </w:r>
      <w:r w:rsidR="003F698D" w:rsidRPr="00646E52">
        <w:rPr>
          <w:rFonts w:ascii="Tahoma" w:eastAsia="Times New Roman" w:hAnsi="Tahoma" w:cs="Tahoma"/>
          <w:color w:val="333333"/>
          <w:sz w:val="21"/>
          <w:szCs w:val="21"/>
          <w:lang w:eastAsia="es-ES"/>
        </w:rPr>
        <w:t>cláusula</w:t>
      </w:r>
      <w:r w:rsidR="00646E52" w:rsidRPr="00646E52">
        <w:rPr>
          <w:rFonts w:ascii="Tahoma" w:eastAsia="Times New Roman" w:hAnsi="Tahoma" w:cs="Tahoma"/>
          <w:color w:val="333333"/>
          <w:sz w:val="21"/>
          <w:szCs w:val="21"/>
          <w:lang w:eastAsia="es-ES"/>
        </w:rPr>
        <w:t xml:space="preserve"> de compraventa según los Incoterms de la CCI.</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III.- E</w:t>
      </w:r>
      <w:r w:rsidR="003F698D">
        <w:rPr>
          <w:rFonts w:ascii="Tahoma" w:eastAsia="Times New Roman" w:hAnsi="Tahoma" w:cs="Tahoma"/>
          <w:b/>
          <w:bCs/>
          <w:color w:val="333333"/>
          <w:sz w:val="21"/>
          <w:szCs w:val="21"/>
          <w:lang w:eastAsia="es-ES"/>
        </w:rPr>
        <w:t>LEM</w:t>
      </w:r>
      <w:r w:rsidR="00FD0869">
        <w:rPr>
          <w:rFonts w:ascii="Tahoma" w:eastAsia="Times New Roman" w:hAnsi="Tahoma" w:cs="Tahoma"/>
          <w:b/>
          <w:bCs/>
          <w:color w:val="333333"/>
          <w:sz w:val="21"/>
          <w:szCs w:val="21"/>
          <w:lang w:eastAsia="es-ES"/>
        </w:rPr>
        <w:t>E</w:t>
      </w:r>
      <w:r w:rsidR="003F698D">
        <w:rPr>
          <w:rFonts w:ascii="Tahoma" w:eastAsia="Times New Roman" w:hAnsi="Tahoma" w:cs="Tahoma"/>
          <w:b/>
          <w:bCs/>
          <w:color w:val="333333"/>
          <w:sz w:val="21"/>
          <w:szCs w:val="21"/>
          <w:lang w:eastAsia="es-ES"/>
        </w:rPr>
        <w:t>NTOS DEL VALOR</w:t>
      </w:r>
    </w:p>
    <w:p w:rsidR="0071437F"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6.-</w:t>
      </w:r>
      <w:r w:rsidR="00B7525F" w:rsidRPr="006F527D">
        <w:rPr>
          <w:rFonts w:ascii="Tahoma" w:eastAsia="Times New Roman" w:hAnsi="Tahoma" w:cs="Tahoma"/>
          <w:b/>
          <w:color w:val="333333"/>
          <w:sz w:val="21"/>
          <w:szCs w:val="21"/>
          <w:lang w:eastAsia="es-ES"/>
        </w:rPr>
        <w:t xml:space="preserve"> </w:t>
      </w:r>
      <w:r w:rsidR="00903E7D" w:rsidRPr="006F527D">
        <w:rPr>
          <w:rFonts w:ascii="Tahoma" w:eastAsia="Times New Roman" w:hAnsi="Tahoma" w:cs="Tahoma"/>
          <w:b/>
          <w:color w:val="333333"/>
          <w:sz w:val="21"/>
          <w:szCs w:val="21"/>
          <w:lang w:eastAsia="es-ES"/>
        </w:rPr>
        <w:t>Vinculación entre comprador y vendedor</w:t>
      </w:r>
      <w:r w:rsidR="0071437F" w:rsidRPr="006F527D">
        <w:rPr>
          <w:rFonts w:ascii="Tahoma" w:eastAsia="Times New Roman" w:hAnsi="Tahoma" w:cs="Tahoma"/>
          <w:b/>
          <w:color w:val="333333"/>
          <w:sz w:val="21"/>
          <w:szCs w:val="21"/>
          <w:lang w:eastAsia="es-ES"/>
        </w:rPr>
        <w:t>:</w:t>
      </w:r>
    </w:p>
    <w:p w:rsidR="0071437F" w:rsidRDefault="0071437F"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los Art. 15 Nºs. 4 y 5 Acuerdo de Valoración OMC.</w:t>
      </w:r>
    </w:p>
    <w:p w:rsidR="00A35B9A" w:rsidRDefault="00A35B9A"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Tipo de vinculación</w:t>
      </w:r>
      <w:r w:rsidRPr="00A35B9A">
        <w:rPr>
          <w:rFonts w:ascii="Tahoma" w:eastAsia="Times New Roman" w:hAnsi="Tahoma" w:cs="Tahoma"/>
          <w:color w:val="333333"/>
          <w:sz w:val="21"/>
          <w:szCs w:val="21"/>
          <w:lang w:eastAsia="es-ES"/>
        </w:rPr>
        <w:t>, indicar letra del art. 15 Nº 4 o</w:t>
      </w:r>
      <w:r w:rsidR="002C162F">
        <w:rPr>
          <w:rFonts w:ascii="Tahoma" w:eastAsia="Times New Roman" w:hAnsi="Tahoma" w:cs="Tahoma"/>
          <w:color w:val="333333"/>
          <w:sz w:val="21"/>
          <w:szCs w:val="21"/>
          <w:lang w:eastAsia="es-ES"/>
        </w:rPr>
        <w:t xml:space="preserve"> señalar</w:t>
      </w:r>
      <w:r w:rsidRPr="00A35B9A">
        <w:rPr>
          <w:rFonts w:ascii="Tahoma" w:eastAsia="Times New Roman" w:hAnsi="Tahoma" w:cs="Tahoma"/>
          <w:color w:val="333333"/>
          <w:sz w:val="21"/>
          <w:szCs w:val="21"/>
          <w:lang w:eastAsia="es-ES"/>
        </w:rPr>
        <w:t xml:space="preserve"> art. 15 Nº 5</w:t>
      </w:r>
      <w:r w:rsidR="002C162F">
        <w:rPr>
          <w:rFonts w:ascii="Tahoma" w:eastAsia="Times New Roman" w:hAnsi="Tahoma" w:cs="Tahoma"/>
          <w:color w:val="333333"/>
          <w:sz w:val="21"/>
          <w:szCs w:val="21"/>
          <w:lang w:eastAsia="es-ES"/>
        </w:rPr>
        <w:t>, según corresponda</w:t>
      </w:r>
      <w:r>
        <w:rPr>
          <w:rFonts w:ascii="Tahoma" w:eastAsia="Times New Roman" w:hAnsi="Tahoma" w:cs="Tahoma"/>
          <w:color w:val="333333"/>
          <w:sz w:val="21"/>
          <w:szCs w:val="21"/>
          <w:lang w:eastAsia="es-ES"/>
        </w:rPr>
        <w:t>.-</w:t>
      </w:r>
    </w:p>
    <w:p w:rsidR="00903E7D" w:rsidRDefault="0071437F" w:rsidP="00903E7D">
      <w:pPr>
        <w:pStyle w:val="NormalWeb"/>
        <w:spacing w:line="408" w:lineRule="auto"/>
        <w:jc w:val="both"/>
        <w:rPr>
          <w:color w:val="333333"/>
          <w:sz w:val="21"/>
          <w:szCs w:val="21"/>
        </w:rPr>
      </w:pPr>
      <w:r>
        <w:rPr>
          <w:color w:val="333333"/>
          <w:sz w:val="21"/>
          <w:szCs w:val="21"/>
        </w:rPr>
        <w:t xml:space="preserve">Art. 15 N° </w:t>
      </w:r>
      <w:r w:rsidR="00952D18">
        <w:rPr>
          <w:color w:val="333333"/>
          <w:sz w:val="21"/>
          <w:szCs w:val="21"/>
        </w:rPr>
        <w:t xml:space="preserve">4: </w:t>
      </w:r>
      <w:r w:rsidR="00903E7D">
        <w:rPr>
          <w:color w:val="333333"/>
          <w:sz w:val="21"/>
          <w:szCs w:val="21"/>
        </w:rPr>
        <w:t>“A los efectos del presente Acuerdo se considerará que existe vinculación entre las personas solamente en los casos siguientes: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a)</w:t>
      </w:r>
      <w:r w:rsidRPr="0071437F">
        <w:rPr>
          <w:color w:val="333333"/>
          <w:sz w:val="21"/>
          <w:szCs w:val="21"/>
        </w:rPr>
        <w:t xml:space="preserve"> Si una de ellas ocupa cargos de responsabilidad o dirección en una empresa de la otra;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b)</w:t>
      </w:r>
      <w:r w:rsidRPr="0071437F">
        <w:rPr>
          <w:color w:val="333333"/>
          <w:sz w:val="21"/>
          <w:szCs w:val="21"/>
        </w:rPr>
        <w:t xml:space="preserve"> Si están legalmente reconocidas como asociadas en negocios;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c)</w:t>
      </w:r>
      <w:r w:rsidRPr="0071437F">
        <w:rPr>
          <w:color w:val="333333"/>
          <w:sz w:val="21"/>
          <w:szCs w:val="21"/>
        </w:rPr>
        <w:t xml:space="preserve"> Si están en relación de empleador y empleado;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lastRenderedPageBreak/>
        <w:t>d)</w:t>
      </w:r>
      <w:r w:rsidRPr="0071437F">
        <w:rPr>
          <w:color w:val="333333"/>
          <w:sz w:val="21"/>
          <w:szCs w:val="21"/>
        </w:rPr>
        <w:t xml:space="preserve"> Si una persona tiene, directa o indirectamente, la propiedad, el control o la posesión del 5 por ciento o más de las acciones o títulos en circulación y con derecho a voto de ambas;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e)</w:t>
      </w:r>
      <w:r w:rsidRPr="0071437F">
        <w:rPr>
          <w:color w:val="333333"/>
          <w:sz w:val="21"/>
          <w:szCs w:val="21"/>
        </w:rPr>
        <w:t xml:space="preserve"> Si una de ellas controla directa o indirectamente a la otra;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f)</w:t>
      </w:r>
      <w:r w:rsidRPr="0071437F">
        <w:rPr>
          <w:color w:val="333333"/>
          <w:sz w:val="21"/>
          <w:szCs w:val="21"/>
        </w:rPr>
        <w:t xml:space="preserve"> Si ambas personas están controladas directa o indirectamente por una tercera;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g)</w:t>
      </w:r>
      <w:r w:rsidRPr="0071437F">
        <w:rPr>
          <w:color w:val="333333"/>
          <w:sz w:val="21"/>
          <w:szCs w:val="21"/>
        </w:rPr>
        <w:t xml:space="preserve"> Si juntas controlan directa o indirectamente a una tercera persona; o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h)</w:t>
      </w:r>
      <w:r w:rsidR="00952D18">
        <w:rPr>
          <w:color w:val="333333"/>
          <w:sz w:val="21"/>
          <w:szCs w:val="21"/>
        </w:rPr>
        <w:t xml:space="preserve"> Si son de la misma familia.”</w:t>
      </w:r>
    </w:p>
    <w:p w:rsidR="00903E7D" w:rsidRPr="0071437F" w:rsidRDefault="00952D18" w:rsidP="00903E7D">
      <w:pPr>
        <w:pStyle w:val="NormalWeb"/>
        <w:spacing w:line="408" w:lineRule="auto"/>
        <w:jc w:val="both"/>
        <w:rPr>
          <w:color w:val="333333"/>
          <w:sz w:val="21"/>
          <w:szCs w:val="21"/>
        </w:rPr>
      </w:pPr>
      <w:r>
        <w:rPr>
          <w:bCs/>
          <w:color w:val="333333"/>
          <w:sz w:val="21"/>
          <w:szCs w:val="21"/>
        </w:rPr>
        <w:t xml:space="preserve">Art. 15 Nº </w:t>
      </w:r>
      <w:r w:rsidR="00903E7D" w:rsidRPr="0071437F">
        <w:rPr>
          <w:bCs/>
          <w:color w:val="333333"/>
          <w:sz w:val="21"/>
          <w:szCs w:val="21"/>
        </w:rPr>
        <w:t>5</w:t>
      </w:r>
      <w:r>
        <w:rPr>
          <w:bCs/>
          <w:color w:val="333333"/>
          <w:sz w:val="21"/>
          <w:szCs w:val="21"/>
        </w:rPr>
        <w:t>: “</w:t>
      </w:r>
      <w:r w:rsidR="00903E7D" w:rsidRPr="0071437F">
        <w:rPr>
          <w:color w:val="333333"/>
          <w:sz w:val="21"/>
          <w:szCs w:val="21"/>
        </w:rPr>
        <w:t>Las personas que están asociadas en negocios porque una es el agente, distribuidor o concesionario exclusivo de la otra, cualquiera que sea la designación utilizada, se considerarán como vinculadas, a los efectos del presente Acuerdo, si se les puede aplicar alguno de los criterios enunciados en el párrafo 4.”</w:t>
      </w:r>
    </w:p>
    <w:p w:rsidR="0071437F" w:rsidRDefault="0071437F" w:rsidP="0071437F">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 siguiente:</w:t>
      </w:r>
    </w:p>
    <w:p w:rsidR="00981EF0" w:rsidRDefault="00A91F07" w:rsidP="00981EF0">
      <w:pPr>
        <w:spacing w:before="100" w:beforeAutospacing="1" w:after="100" w:afterAutospacing="1" w:line="408" w:lineRule="auto"/>
        <w:ind w:left="0"/>
        <w:rPr>
          <w:rFonts w:ascii="Tahoma" w:eastAsia="Times New Roman" w:hAnsi="Tahoma" w:cs="Tahoma"/>
          <w:color w:val="333333"/>
          <w:sz w:val="21"/>
          <w:szCs w:val="21"/>
          <w:lang w:eastAsia="es-ES"/>
        </w:rPr>
      </w:pPr>
      <w:r w:rsidRPr="00903E7D">
        <w:rPr>
          <w:rFonts w:ascii="Tahoma" w:eastAsia="Times New Roman" w:hAnsi="Tahoma" w:cs="Tahoma"/>
          <w:b/>
          <w:color w:val="333333"/>
          <w:sz w:val="21"/>
          <w:szCs w:val="21"/>
          <w:lang w:eastAsia="es-ES"/>
        </w:rPr>
        <w:t>6 a.-</w:t>
      </w:r>
      <w:r>
        <w:rPr>
          <w:rFonts w:ascii="Tahoma" w:eastAsia="Times New Roman" w:hAnsi="Tahoma" w:cs="Tahoma"/>
          <w:color w:val="333333"/>
          <w:sz w:val="21"/>
          <w:szCs w:val="21"/>
          <w:lang w:eastAsia="es-ES"/>
        </w:rPr>
        <w:t xml:space="preserve"> Con el objeto de verificar si la v</w:t>
      </w:r>
      <w:r w:rsidRPr="00A91F07">
        <w:rPr>
          <w:rFonts w:ascii="Tahoma" w:eastAsia="Times New Roman" w:hAnsi="Tahoma" w:cs="Tahoma"/>
          <w:color w:val="333333"/>
          <w:sz w:val="21"/>
          <w:szCs w:val="21"/>
          <w:lang w:eastAsia="es-ES"/>
        </w:rPr>
        <w:t xml:space="preserve">inculación entre las </w:t>
      </w:r>
      <w:r>
        <w:rPr>
          <w:rFonts w:ascii="Tahoma" w:eastAsia="Times New Roman" w:hAnsi="Tahoma" w:cs="Tahoma"/>
          <w:color w:val="333333"/>
          <w:sz w:val="21"/>
          <w:szCs w:val="21"/>
          <w:lang w:eastAsia="es-ES"/>
        </w:rPr>
        <w:t xml:space="preserve">partes ha influido en el precio, </w:t>
      </w:r>
      <w:r w:rsidR="0071437F">
        <w:rPr>
          <w:rFonts w:ascii="Tahoma" w:eastAsia="Times New Roman" w:hAnsi="Tahoma" w:cs="Tahoma"/>
          <w:color w:val="333333"/>
          <w:sz w:val="21"/>
          <w:szCs w:val="21"/>
          <w:lang w:eastAsia="es-ES"/>
        </w:rPr>
        <w:t>m</w:t>
      </w:r>
      <w:r w:rsidR="0071437F" w:rsidRPr="00646E52">
        <w:rPr>
          <w:rFonts w:ascii="Tahoma" w:eastAsia="Times New Roman" w:hAnsi="Tahoma" w:cs="Tahoma"/>
          <w:color w:val="333333"/>
          <w:sz w:val="21"/>
          <w:szCs w:val="21"/>
          <w:lang w:eastAsia="es-ES"/>
        </w:rPr>
        <w:t xml:space="preserve">arque con una </w:t>
      </w:r>
      <w:r w:rsidR="0071437F">
        <w:rPr>
          <w:rFonts w:ascii="Tahoma" w:eastAsia="Times New Roman" w:hAnsi="Tahoma" w:cs="Tahoma"/>
          <w:color w:val="333333"/>
          <w:sz w:val="21"/>
          <w:szCs w:val="21"/>
          <w:lang w:eastAsia="es-ES"/>
        </w:rPr>
        <w:t xml:space="preserve">“X” lo que </w:t>
      </w:r>
      <w:r w:rsidR="0071437F" w:rsidRPr="00646E52">
        <w:rPr>
          <w:rFonts w:ascii="Tahoma" w:eastAsia="Times New Roman" w:hAnsi="Tahoma" w:cs="Tahoma"/>
          <w:color w:val="333333"/>
          <w:sz w:val="21"/>
          <w:szCs w:val="21"/>
          <w:lang w:eastAsia="es-ES"/>
        </w:rPr>
        <w:t>corresponda (Si/No)</w:t>
      </w:r>
      <w:r w:rsidR="0071437F">
        <w:rPr>
          <w:rFonts w:ascii="Tahoma" w:eastAsia="Times New Roman" w:hAnsi="Tahoma" w:cs="Tahoma"/>
          <w:color w:val="333333"/>
          <w:sz w:val="21"/>
          <w:szCs w:val="21"/>
          <w:lang w:eastAsia="es-ES"/>
        </w:rPr>
        <w:t xml:space="preserve"> considerando</w:t>
      </w:r>
      <w:r>
        <w:rPr>
          <w:rFonts w:ascii="Tahoma" w:eastAsia="Times New Roman" w:hAnsi="Tahoma" w:cs="Tahoma"/>
          <w:color w:val="333333"/>
          <w:sz w:val="21"/>
          <w:szCs w:val="21"/>
          <w:lang w:eastAsia="es-ES"/>
        </w:rPr>
        <w:t xml:space="preserve"> lo dispuesto en los siguientes artículos:</w:t>
      </w:r>
    </w:p>
    <w:p w:rsidR="00981EF0" w:rsidRDefault="00A91F07" w:rsidP="00981EF0">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Art. 1 Nº</w:t>
      </w:r>
      <w:r w:rsidRPr="00A91F07">
        <w:rPr>
          <w:rFonts w:ascii="Tahoma" w:eastAsia="Times New Roman" w:hAnsi="Tahoma" w:cs="Tahoma"/>
          <w:color w:val="333333"/>
          <w:sz w:val="21"/>
          <w:szCs w:val="21"/>
          <w:lang w:eastAsia="es-ES"/>
        </w:rPr>
        <w:t xml:space="preserve"> 1 d)</w:t>
      </w:r>
      <w:r w:rsidR="00952D18">
        <w:rPr>
          <w:rFonts w:ascii="Tahoma" w:eastAsia="Times New Roman" w:hAnsi="Tahoma" w:cs="Tahoma"/>
          <w:color w:val="333333"/>
          <w:sz w:val="21"/>
          <w:szCs w:val="21"/>
          <w:lang w:eastAsia="es-ES"/>
        </w:rPr>
        <w:t xml:space="preserve"> </w:t>
      </w:r>
      <w:r w:rsidR="00981EF0">
        <w:rPr>
          <w:rFonts w:ascii="Tahoma" w:eastAsia="Times New Roman" w:hAnsi="Tahoma" w:cs="Tahoma"/>
          <w:color w:val="333333"/>
          <w:sz w:val="21"/>
          <w:szCs w:val="21"/>
          <w:lang w:eastAsia="es-ES"/>
        </w:rPr>
        <w:t>Acuerdo OMC</w:t>
      </w:r>
      <w:r w:rsidR="00952D18">
        <w:rPr>
          <w:rFonts w:ascii="Tahoma" w:eastAsia="Times New Roman" w:hAnsi="Tahoma" w:cs="Tahoma"/>
          <w:color w:val="333333"/>
          <w:sz w:val="21"/>
          <w:szCs w:val="21"/>
          <w:lang w:eastAsia="es-ES"/>
        </w:rPr>
        <w:t>:</w:t>
      </w:r>
      <w:r w:rsidR="00981EF0">
        <w:rPr>
          <w:rFonts w:ascii="Tahoma" w:eastAsia="Times New Roman" w:hAnsi="Tahoma" w:cs="Tahoma"/>
          <w:color w:val="333333"/>
          <w:sz w:val="21"/>
          <w:szCs w:val="21"/>
          <w:lang w:eastAsia="es-ES"/>
        </w:rPr>
        <w:t xml:space="preserve"> “</w:t>
      </w:r>
      <w:r w:rsidR="00981EF0" w:rsidRPr="00981EF0">
        <w:rPr>
          <w:rFonts w:ascii="Tahoma" w:eastAsia="Times New Roman" w:hAnsi="Tahoma" w:cs="Tahoma"/>
          <w:color w:val="333333"/>
          <w:sz w:val="21"/>
          <w:szCs w:val="21"/>
          <w:lang w:eastAsia="es-ES"/>
        </w:rPr>
        <w:t xml:space="preserve">Que no exista una vinculación entre el comprador y el vendedor o que, en caso de existir, el valor de transacción sea aceptable a efectos aduaneros en virtud de lo dispuesto en el párrafo 2.” </w:t>
      </w:r>
    </w:p>
    <w:p w:rsidR="00981EF0" w:rsidRDefault="00981EF0" w:rsidP="00981EF0">
      <w:pPr>
        <w:pStyle w:val="NormalWeb"/>
        <w:spacing w:line="408" w:lineRule="auto"/>
        <w:jc w:val="both"/>
        <w:rPr>
          <w:color w:val="333333"/>
          <w:sz w:val="21"/>
          <w:szCs w:val="21"/>
        </w:rPr>
      </w:pPr>
      <w:r>
        <w:rPr>
          <w:color w:val="333333"/>
          <w:sz w:val="21"/>
          <w:szCs w:val="21"/>
        </w:rPr>
        <w:t>Art. 1 Nº 2 a)</w:t>
      </w:r>
      <w:r w:rsidR="00952D18">
        <w:rPr>
          <w:color w:val="333333"/>
          <w:sz w:val="21"/>
          <w:szCs w:val="21"/>
        </w:rPr>
        <w:t xml:space="preserve"> </w:t>
      </w:r>
      <w:r>
        <w:rPr>
          <w:color w:val="333333"/>
          <w:sz w:val="21"/>
          <w:szCs w:val="21"/>
        </w:rPr>
        <w:t>Acuerdo OMC</w:t>
      </w:r>
      <w:r w:rsidR="00952D18">
        <w:rPr>
          <w:color w:val="333333"/>
          <w:sz w:val="21"/>
          <w:szCs w:val="21"/>
        </w:rPr>
        <w:t>:</w:t>
      </w:r>
      <w:r>
        <w:rPr>
          <w:color w:val="333333"/>
          <w:sz w:val="21"/>
          <w:szCs w:val="21"/>
        </w:rPr>
        <w:t xml:space="preserve"> “Al determinar si el valor de transacción es aceptable a los efectos del párrafo 1, el hecho de que exista una vinculación entre el comprador y el vendedor en el sentido de lo dispuesto en el artículo 15º no constituirá en sí un motivo suficiente para considerar inaceptable el valor de transacción. En tal caso se examinarán las circunstancias de la venta y se aceptará el valor de transacción siempre que la vinculación no haya influido en el precio. Si, por la información obtenida del importador o de otra fuente, la Administración de Aduanas tiene razones para creer que la vinculación ha influido en el precio, comunicará esas razones al importador y le dará oportunidad razonable para contestar. Si el importador lo pide, las razones se le comunicarán por escrito.”</w:t>
      </w:r>
    </w:p>
    <w:p w:rsidR="00B7525F" w:rsidRDefault="00B7525F" w:rsidP="00B7525F">
      <w:pPr>
        <w:pStyle w:val="NormalWeb"/>
        <w:spacing w:line="408" w:lineRule="auto"/>
        <w:jc w:val="both"/>
        <w:rPr>
          <w:color w:val="333333"/>
          <w:sz w:val="21"/>
          <w:szCs w:val="21"/>
        </w:rPr>
      </w:pPr>
      <w:r w:rsidRPr="00903E7D">
        <w:rPr>
          <w:b/>
          <w:color w:val="333333"/>
          <w:sz w:val="21"/>
          <w:szCs w:val="21"/>
        </w:rPr>
        <w:lastRenderedPageBreak/>
        <w:t>6 b.-</w:t>
      </w:r>
      <w:r>
        <w:rPr>
          <w:color w:val="333333"/>
          <w:sz w:val="21"/>
          <w:szCs w:val="21"/>
        </w:rPr>
        <w:t xml:space="preserve"> </w:t>
      </w:r>
      <w:r w:rsidRPr="00B7525F">
        <w:rPr>
          <w:color w:val="333333"/>
          <w:sz w:val="21"/>
          <w:szCs w:val="21"/>
        </w:rPr>
        <w:t>El precio pagado se aproxima mucho a los criterios de valor determinados de conformidad al Art. 1 Nº 2 b) del Acuerdo OMC</w:t>
      </w:r>
      <w:r w:rsidR="006F527D">
        <w:rPr>
          <w:color w:val="333333"/>
          <w:sz w:val="21"/>
          <w:szCs w:val="21"/>
        </w:rPr>
        <w:t>,</w:t>
      </w:r>
      <w:r>
        <w:rPr>
          <w:color w:val="333333"/>
          <w:sz w:val="21"/>
          <w:szCs w:val="21"/>
        </w:rPr>
        <w:t xml:space="preserve"> </w:t>
      </w:r>
      <w:r w:rsidR="006F527D">
        <w:rPr>
          <w:color w:val="333333"/>
          <w:sz w:val="21"/>
          <w:szCs w:val="21"/>
        </w:rPr>
        <w:t>m</w:t>
      </w:r>
      <w:r w:rsidR="006F527D" w:rsidRPr="00646E52">
        <w:rPr>
          <w:color w:val="333333"/>
          <w:sz w:val="21"/>
          <w:szCs w:val="21"/>
        </w:rPr>
        <w:t xml:space="preserve">arque con una </w:t>
      </w:r>
      <w:r w:rsidR="006F527D">
        <w:rPr>
          <w:color w:val="333333"/>
          <w:sz w:val="21"/>
          <w:szCs w:val="21"/>
        </w:rPr>
        <w:t xml:space="preserve">“X” lo que </w:t>
      </w:r>
      <w:r w:rsidR="006F527D" w:rsidRPr="00646E52">
        <w:rPr>
          <w:color w:val="333333"/>
          <w:sz w:val="21"/>
          <w:szCs w:val="21"/>
        </w:rPr>
        <w:t>corresponda (Si/No)</w:t>
      </w:r>
      <w:r w:rsidR="006F527D">
        <w:rPr>
          <w:color w:val="333333"/>
          <w:sz w:val="21"/>
          <w:szCs w:val="21"/>
        </w:rPr>
        <w:t>.</w:t>
      </w:r>
    </w:p>
    <w:p w:rsidR="00B7525F" w:rsidRPr="006F527D" w:rsidRDefault="00B7525F" w:rsidP="00B7525F">
      <w:pPr>
        <w:pStyle w:val="NormalWeb"/>
        <w:spacing w:line="408" w:lineRule="auto"/>
        <w:jc w:val="both"/>
        <w:rPr>
          <w:color w:val="333333"/>
          <w:sz w:val="21"/>
          <w:szCs w:val="21"/>
        </w:rPr>
      </w:pPr>
      <w:r w:rsidRPr="00B7525F">
        <w:rPr>
          <w:color w:val="333333"/>
          <w:sz w:val="21"/>
          <w:szCs w:val="21"/>
        </w:rPr>
        <w:t>Art. 1 Nº 2 b)</w:t>
      </w:r>
      <w:r w:rsidR="00952D18">
        <w:rPr>
          <w:color w:val="333333"/>
          <w:sz w:val="21"/>
          <w:szCs w:val="21"/>
        </w:rPr>
        <w:t>:</w:t>
      </w:r>
      <w:r w:rsidRPr="00B7525F">
        <w:rPr>
          <w:color w:val="333333"/>
          <w:sz w:val="21"/>
          <w:szCs w:val="21"/>
        </w:rPr>
        <w:t xml:space="preserve"> </w:t>
      </w:r>
      <w:r>
        <w:rPr>
          <w:color w:val="333333"/>
          <w:sz w:val="21"/>
          <w:szCs w:val="21"/>
        </w:rPr>
        <w:t xml:space="preserve">“En una venta entre personas vinculadas, se aceptará el valor de transacción y se valorarán las mercancías de conformidad con lo dispuesto en el párrafo 1 cuando el importador demuestre que dicho valor se aproxima mucho a alguno de los precios o </w:t>
      </w:r>
      <w:r w:rsidRPr="006F527D">
        <w:rPr>
          <w:color w:val="333333"/>
          <w:sz w:val="21"/>
          <w:szCs w:val="21"/>
        </w:rPr>
        <w:t>valores que se señalan a continuación, vigentes en el mismo momento o en uno aproximado: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w:t>
      </w:r>
      <w:r w:rsidRPr="006F527D">
        <w:rPr>
          <w:color w:val="333333"/>
          <w:sz w:val="21"/>
          <w:szCs w:val="21"/>
        </w:rPr>
        <w:t xml:space="preserve"> El valor de transacción en las ventas de mercancías idénticas o similares efectuadas a compradores no vinculados con el vendedor, para la exportación al mismo país importador;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ii)</w:t>
      </w:r>
      <w:r w:rsidRPr="006F527D">
        <w:rPr>
          <w:color w:val="333333"/>
          <w:sz w:val="21"/>
          <w:szCs w:val="21"/>
        </w:rPr>
        <w:t xml:space="preserve"> El valor en aduana de mercancías idénticas o similares, determinado con arreglo a lo dispuesto en el artículo 5°;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iii)</w:t>
      </w:r>
      <w:r w:rsidRPr="006F527D">
        <w:rPr>
          <w:color w:val="333333"/>
          <w:sz w:val="21"/>
          <w:szCs w:val="21"/>
        </w:rPr>
        <w:t xml:space="preserve"> El valor en aduana de mercancías idénticas o similares, determinado con arreglo a lo dispuesto en el artículo 6°; </w:t>
      </w:r>
    </w:p>
    <w:p w:rsidR="00B7525F" w:rsidRPr="006F527D" w:rsidRDefault="00B7525F" w:rsidP="00B7525F">
      <w:pPr>
        <w:pStyle w:val="NormalWeb"/>
        <w:spacing w:line="408" w:lineRule="auto"/>
        <w:jc w:val="both"/>
        <w:rPr>
          <w:color w:val="333333"/>
          <w:sz w:val="21"/>
          <w:szCs w:val="21"/>
        </w:rPr>
      </w:pPr>
      <w:r w:rsidRPr="006F527D">
        <w:rPr>
          <w:color w:val="333333"/>
          <w:sz w:val="21"/>
          <w:szCs w:val="21"/>
        </w:rPr>
        <w:t>Al aplicar los criterios precedentes, deberán tenerse debidamente en cuenta las diferencias demostradas de nivel comercial y de cantidad, los elementos enumerados en el artículo 8° y los costos que soporte el vendedor en las ventas a compradores con los que no esté vinculado, y que no soporte en las ventas a compradores con los que tiene vinculación.”</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7.-</w:t>
      </w:r>
      <w:r w:rsidRPr="006F527D">
        <w:rPr>
          <w:rFonts w:ascii="Tahoma" w:eastAsia="Times New Roman" w:hAnsi="Tahoma" w:cs="Tahoma"/>
          <w:b/>
          <w:color w:val="333333"/>
          <w:sz w:val="21"/>
          <w:szCs w:val="21"/>
          <w:lang w:eastAsia="es-ES"/>
        </w:rPr>
        <w:t xml:space="preserve"> Restricciones y Condiciones:</w:t>
      </w:r>
    </w:p>
    <w:p w:rsidR="00646E52" w:rsidRDefault="00952D18"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 xml:space="preserve">Letras </w:t>
      </w:r>
      <w:r w:rsidR="00646E52" w:rsidRPr="00646E52">
        <w:rPr>
          <w:rFonts w:ascii="Tahoma" w:eastAsia="Times New Roman" w:hAnsi="Tahoma" w:cs="Tahoma"/>
          <w:color w:val="333333"/>
          <w:sz w:val="21"/>
          <w:szCs w:val="21"/>
          <w:lang w:eastAsia="es-ES"/>
        </w:rPr>
        <w:t xml:space="preserve">a) y b): Marque con una </w:t>
      </w:r>
      <w:r w:rsidR="006F527D">
        <w:rPr>
          <w:rFonts w:ascii="Tahoma" w:eastAsia="Times New Roman" w:hAnsi="Tahoma" w:cs="Tahoma"/>
          <w:color w:val="333333"/>
          <w:sz w:val="21"/>
          <w:szCs w:val="21"/>
          <w:lang w:eastAsia="es-ES"/>
        </w:rPr>
        <w:t>“X”</w:t>
      </w:r>
      <w:r w:rsidR="00646E52" w:rsidRPr="00646E52">
        <w:rPr>
          <w:rFonts w:ascii="Tahoma" w:eastAsia="Times New Roman" w:hAnsi="Tahoma" w:cs="Tahoma"/>
          <w:color w:val="333333"/>
          <w:sz w:val="21"/>
          <w:szCs w:val="21"/>
          <w:lang w:eastAsia="es-ES"/>
        </w:rPr>
        <w:t xml:space="preserve"> lo que corresponda (Si/No)</w:t>
      </w:r>
      <w:r w:rsidR="00903E7D">
        <w:rPr>
          <w:rFonts w:ascii="Tahoma" w:eastAsia="Times New Roman" w:hAnsi="Tahoma" w:cs="Tahoma"/>
          <w:color w:val="333333"/>
          <w:sz w:val="21"/>
          <w:szCs w:val="21"/>
          <w:lang w:eastAsia="es-ES"/>
        </w:rPr>
        <w:t xml:space="preserve"> considerando lo siguiente:</w:t>
      </w:r>
    </w:p>
    <w:p w:rsidR="00903E7D" w:rsidRDefault="00A10F59" w:rsidP="00903E7D">
      <w:pPr>
        <w:pStyle w:val="NormalWeb"/>
        <w:spacing w:line="408" w:lineRule="auto"/>
        <w:jc w:val="both"/>
        <w:rPr>
          <w:color w:val="333333"/>
          <w:sz w:val="21"/>
          <w:szCs w:val="21"/>
        </w:rPr>
      </w:pPr>
      <w:r>
        <w:rPr>
          <w:color w:val="333333"/>
          <w:sz w:val="21"/>
          <w:szCs w:val="21"/>
        </w:rPr>
        <w:t xml:space="preserve">Letra a) </w:t>
      </w:r>
      <w:r w:rsidR="00903E7D">
        <w:rPr>
          <w:color w:val="333333"/>
          <w:sz w:val="21"/>
          <w:szCs w:val="21"/>
        </w:rPr>
        <w:t>Art. 1 Nº 1</w:t>
      </w:r>
      <w:r w:rsidR="00952D18">
        <w:rPr>
          <w:color w:val="333333"/>
          <w:sz w:val="21"/>
          <w:szCs w:val="21"/>
        </w:rPr>
        <w:t xml:space="preserve"> a</w:t>
      </w:r>
      <w:r w:rsidR="00357F50">
        <w:rPr>
          <w:color w:val="333333"/>
          <w:sz w:val="21"/>
          <w:szCs w:val="21"/>
        </w:rPr>
        <w:t>):</w:t>
      </w:r>
      <w:r w:rsidR="00903E7D">
        <w:rPr>
          <w:color w:val="333333"/>
          <w:sz w:val="21"/>
          <w:szCs w:val="21"/>
        </w:rPr>
        <w:t xml:space="preserve"> “Que no existan restricciones a la cesión o utilización de las mercancías por el comprador, con excepción de las que: </w:t>
      </w:r>
    </w:p>
    <w:p w:rsidR="00903E7D" w:rsidRPr="006F527D" w:rsidRDefault="00903E7D" w:rsidP="00903E7D">
      <w:pPr>
        <w:pStyle w:val="NormalWeb"/>
        <w:spacing w:line="408" w:lineRule="auto"/>
        <w:jc w:val="both"/>
        <w:rPr>
          <w:color w:val="333333"/>
          <w:sz w:val="21"/>
          <w:szCs w:val="21"/>
        </w:rPr>
      </w:pPr>
      <w:r w:rsidRPr="006F527D">
        <w:rPr>
          <w:bCs/>
          <w:color w:val="333333"/>
          <w:sz w:val="21"/>
          <w:szCs w:val="21"/>
        </w:rPr>
        <w:t>i)</w:t>
      </w:r>
      <w:r w:rsidRPr="006F527D">
        <w:rPr>
          <w:color w:val="333333"/>
          <w:sz w:val="21"/>
          <w:szCs w:val="21"/>
        </w:rPr>
        <w:t xml:space="preserve"> Impongan o exijan la ley o las autoridades del país de importación. </w:t>
      </w:r>
    </w:p>
    <w:p w:rsidR="00903E7D" w:rsidRPr="006F527D" w:rsidRDefault="00903E7D" w:rsidP="00903E7D">
      <w:pPr>
        <w:pStyle w:val="NormalWeb"/>
        <w:spacing w:line="408" w:lineRule="auto"/>
        <w:jc w:val="both"/>
        <w:rPr>
          <w:color w:val="333333"/>
          <w:sz w:val="21"/>
          <w:szCs w:val="21"/>
        </w:rPr>
      </w:pPr>
      <w:r w:rsidRPr="006F527D">
        <w:rPr>
          <w:bCs/>
          <w:color w:val="333333"/>
          <w:sz w:val="21"/>
          <w:szCs w:val="21"/>
        </w:rPr>
        <w:t>ii)</w:t>
      </w:r>
      <w:r w:rsidRPr="006F527D">
        <w:rPr>
          <w:color w:val="333333"/>
          <w:sz w:val="21"/>
          <w:szCs w:val="21"/>
        </w:rPr>
        <w:t xml:space="preserve"> </w:t>
      </w:r>
      <w:r w:rsidR="00292CEE" w:rsidRPr="006F527D">
        <w:rPr>
          <w:color w:val="333333"/>
          <w:sz w:val="21"/>
          <w:szCs w:val="21"/>
        </w:rPr>
        <w:t>Limiten</w:t>
      </w:r>
      <w:r w:rsidRPr="006F527D">
        <w:rPr>
          <w:color w:val="333333"/>
          <w:sz w:val="21"/>
          <w:szCs w:val="21"/>
        </w:rPr>
        <w:t xml:space="preserve"> el territorio geográfico donde puedan revenderse las mercancías; </w:t>
      </w:r>
    </w:p>
    <w:p w:rsidR="00903E7D" w:rsidRDefault="00903E7D" w:rsidP="0065206F">
      <w:pPr>
        <w:pStyle w:val="NormalWeb"/>
        <w:spacing w:line="408" w:lineRule="auto"/>
        <w:jc w:val="both"/>
        <w:rPr>
          <w:color w:val="333333"/>
          <w:sz w:val="21"/>
          <w:szCs w:val="21"/>
        </w:rPr>
      </w:pPr>
      <w:r w:rsidRPr="006F527D">
        <w:rPr>
          <w:bCs/>
          <w:color w:val="333333"/>
          <w:sz w:val="21"/>
          <w:szCs w:val="21"/>
        </w:rPr>
        <w:lastRenderedPageBreak/>
        <w:t>iii)</w:t>
      </w:r>
      <w:r w:rsidRPr="006F527D">
        <w:rPr>
          <w:color w:val="333333"/>
          <w:sz w:val="21"/>
          <w:szCs w:val="21"/>
        </w:rPr>
        <w:t xml:space="preserve"> No afecten sustancialmente al valor de las mercancías.</w:t>
      </w:r>
      <w:r w:rsidR="0065206F" w:rsidRPr="006F527D">
        <w:rPr>
          <w:color w:val="333333"/>
          <w:sz w:val="21"/>
          <w:szCs w:val="21"/>
        </w:rPr>
        <w:t>”</w:t>
      </w:r>
    </w:p>
    <w:p w:rsidR="00A534F2" w:rsidRPr="00A534F2" w:rsidRDefault="00A10F59" w:rsidP="00A534F2">
      <w:pPr>
        <w:pStyle w:val="NormalWeb"/>
        <w:spacing w:line="408" w:lineRule="auto"/>
        <w:jc w:val="both"/>
        <w:rPr>
          <w:color w:val="333333"/>
          <w:sz w:val="21"/>
          <w:szCs w:val="21"/>
        </w:rPr>
      </w:pPr>
      <w:r w:rsidRPr="00A534F2">
        <w:rPr>
          <w:color w:val="333333"/>
          <w:sz w:val="21"/>
          <w:szCs w:val="21"/>
        </w:rPr>
        <w:t>Letra b) Art. 1 Nº 1 b):</w:t>
      </w:r>
      <w:r w:rsidR="00A534F2" w:rsidRPr="00A534F2">
        <w:rPr>
          <w:color w:val="333333"/>
          <w:sz w:val="21"/>
          <w:szCs w:val="21"/>
        </w:rPr>
        <w:t xml:space="preserve"> “Que la venta o el precio no dependan de ninguna condición o contraprestación cuyo valor no pueda determinarse con relación a las mercancías a valorar.</w:t>
      </w:r>
      <w:r w:rsidR="00A534F2">
        <w:rPr>
          <w:color w:val="333333"/>
          <w:sz w:val="21"/>
          <w:szCs w:val="21"/>
        </w:rPr>
        <w:t>”</w:t>
      </w:r>
    </w:p>
    <w:p w:rsidR="006F527D" w:rsidRPr="006F527D" w:rsidRDefault="00646E52" w:rsidP="001C2EA0">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8.-</w:t>
      </w:r>
      <w:r w:rsidR="006F527D" w:rsidRPr="006F527D">
        <w:rPr>
          <w:rFonts w:ascii="Tahoma" w:eastAsia="Times New Roman" w:hAnsi="Tahoma" w:cs="Tahoma"/>
          <w:b/>
          <w:color w:val="333333"/>
          <w:sz w:val="21"/>
          <w:szCs w:val="21"/>
          <w:lang w:eastAsia="es-ES"/>
        </w:rPr>
        <w:t xml:space="preserve"> Adiciones</w:t>
      </w:r>
      <w:r w:rsidR="006F527D">
        <w:rPr>
          <w:rFonts w:ascii="Tahoma" w:eastAsia="Times New Roman" w:hAnsi="Tahoma" w:cs="Tahoma"/>
          <w:b/>
          <w:color w:val="333333"/>
          <w:sz w:val="21"/>
          <w:szCs w:val="21"/>
          <w:lang w:eastAsia="es-ES"/>
        </w:rPr>
        <w:t>:</w:t>
      </w:r>
    </w:p>
    <w:p w:rsidR="001C2EA0" w:rsidRDefault="001C2EA0" w:rsidP="001C2EA0">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sidR="00490E09">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 siguiente:</w:t>
      </w:r>
    </w:p>
    <w:p w:rsidR="004274A1" w:rsidRPr="004274A1" w:rsidRDefault="004274A1" w:rsidP="004274A1">
      <w:pPr>
        <w:pStyle w:val="NormalWeb"/>
        <w:shd w:val="clear" w:color="auto" w:fill="FFFFFF"/>
        <w:spacing w:before="0" w:beforeAutospacing="0" w:after="0" w:afterAutospacing="0" w:line="357" w:lineRule="atLeast"/>
        <w:jc w:val="both"/>
        <w:rPr>
          <w:rFonts w:ascii="Arial" w:hAnsi="Arial" w:cs="Arial"/>
          <w:color w:val="333333"/>
          <w:sz w:val="21"/>
          <w:szCs w:val="21"/>
          <w:lang w:val="es-CL" w:eastAsia="es-CL"/>
        </w:rPr>
      </w:pPr>
      <w:r>
        <w:rPr>
          <w:color w:val="333333"/>
          <w:sz w:val="21"/>
          <w:szCs w:val="21"/>
        </w:rPr>
        <w:t>Art. 8.1 Acuerdo Valoración OMC</w:t>
      </w:r>
      <w:r w:rsidR="00952D18">
        <w:rPr>
          <w:color w:val="333333"/>
          <w:sz w:val="21"/>
          <w:szCs w:val="21"/>
        </w:rPr>
        <w:t>:</w:t>
      </w:r>
      <w:r>
        <w:rPr>
          <w:color w:val="333333"/>
          <w:sz w:val="21"/>
          <w:szCs w:val="21"/>
        </w:rPr>
        <w:t xml:space="preserve"> “</w:t>
      </w:r>
      <w:r w:rsidRPr="004274A1">
        <w:rPr>
          <w:rFonts w:ascii="Arial" w:hAnsi="Arial" w:cs="Arial"/>
          <w:color w:val="333333"/>
          <w:sz w:val="21"/>
          <w:szCs w:val="21"/>
          <w:lang w:val="es-CL" w:eastAsia="es-CL"/>
        </w:rPr>
        <w:t>Para determinar el valor en aduana de conformidad con lo dispuesto en el artículo 1°, se añadirán al precio realmente pagado o por pagar por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a)</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siguientes elementos, en la medida en que corran a cargo del comprador y no estén incluidos en el precio realmente pagado o por pagar de las mercancías: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Las comisiones y los gastos de corretaje, salvo las comisiones de compra;</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costo de los envases o embalajes que, a efectos aduaneros, se consideren como formando un todo con las mercancías de que se trate;</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gastos de embalaje, tanto por concepto de mano de obra como de materiales;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b)</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valor, debidamente repartido, de los siguientes bienes y servicios, siempre que el comprador de manera directa o indirecta, los haya suministrado gratuitamente o a precios reducidos para que se utilicen en la producción y venta para la exportación de las mercancías importadas y en la medida en que dicho valor no esté incluido en el precio realmente pagado o por pagar:</w:t>
      </w:r>
    </w:p>
    <w:p w:rsidR="004274A1" w:rsidRP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t>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materiales, piezas y elementos, partes y artículos análogos incorporados a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Las herramientas, matrices, moldes y elementos análogos utilizados para la producción de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materiales consumidos en la producción de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iv)</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Ingeniería, creación y perfeccionamiento, trabajos artísticos, diseños y planos y croquis realizados fuera del país de importación y necesarios para la producción de las mercancías importadas.</w:t>
      </w:r>
    </w:p>
    <w:p w:rsidR="004274A1" w:rsidRP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lastRenderedPageBreak/>
        <w:t>c)</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cánones y derechos de licencia relacionados con las mercancías objeto de valoración que el comprador tenga que pagar directa o indirectamente como condición de venta de dichas mercancías, en la medida en que los mencionados cánones y derechos no estén incluidos en el precio realmente pagado o por pagar;</w:t>
      </w:r>
    </w:p>
    <w:p w:rsidR="004274A1" w:rsidRPr="004274A1" w:rsidRDefault="004274A1" w:rsidP="004274A1">
      <w:pPr>
        <w:shd w:val="clear" w:color="auto" w:fill="FFFFFF"/>
        <w:spacing w:line="357" w:lineRule="atLeast"/>
        <w:ind w:left="0"/>
        <w:rPr>
          <w:rFonts w:ascii="Arial" w:eastAsia="Times New Roman" w:hAnsi="Arial" w:cs="Arial"/>
          <w:bCs/>
          <w:color w:val="333333"/>
          <w:sz w:val="21"/>
          <w:lang w:val="es-CL" w:eastAsia="es-CL"/>
        </w:rPr>
      </w:pPr>
    </w:p>
    <w:p w:rsid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t>d)</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valor de cualquier parte del producto de la reventa, cesión o utilización posterior de las mercancías importadas que revierta directa o indirectamente al vendedor.”</w:t>
      </w:r>
    </w:p>
    <w:p w:rsidR="006F527D" w:rsidRDefault="006F527D" w:rsidP="004274A1">
      <w:pPr>
        <w:shd w:val="clear" w:color="auto" w:fill="FFFFFF"/>
        <w:spacing w:line="357" w:lineRule="atLeast"/>
        <w:ind w:left="0"/>
        <w:rPr>
          <w:rFonts w:ascii="Arial" w:eastAsia="Times New Roman" w:hAnsi="Arial" w:cs="Arial"/>
          <w:color w:val="333333"/>
          <w:sz w:val="21"/>
          <w:szCs w:val="21"/>
          <w:lang w:val="es-CL" w:eastAsia="es-CL"/>
        </w:rPr>
      </w:pPr>
    </w:p>
    <w:p w:rsidR="00227173" w:rsidRDefault="000215D7" w:rsidP="00227173">
      <w:pPr>
        <w:shd w:val="clear" w:color="auto" w:fill="FFFFFF"/>
        <w:spacing w:before="240" w:after="480" w:line="390" w:lineRule="atLeast"/>
        <w:ind w:left="0"/>
        <w:textAlignment w:val="baseline"/>
        <w:rPr>
          <w:rFonts w:ascii="Arial Unicode MS" w:eastAsia="Arial Unicode MS" w:hAnsi="Arial Unicode MS" w:cs="Arial Unicode MS"/>
          <w:i/>
          <w:iCs/>
          <w:color w:val="000000"/>
          <w:spacing w:val="-4"/>
          <w:sz w:val="18"/>
          <w:szCs w:val="18"/>
          <w:lang w:val="es-CL"/>
        </w:rPr>
      </w:pPr>
      <w:r>
        <w:rPr>
          <w:rFonts w:ascii="Tahoma" w:eastAsia="Times New Roman" w:hAnsi="Tahoma" w:cs="Tahoma"/>
          <w:bCs/>
          <w:color w:val="333333"/>
          <w:sz w:val="21"/>
          <w:szCs w:val="21"/>
          <w:lang w:val="es-CL" w:eastAsia="es-ES"/>
        </w:rPr>
        <w:t>Para un mejor entendimiento de las Adiciones letras c), d) y e) se define según</w:t>
      </w:r>
      <w:r w:rsidR="002E2326">
        <w:rPr>
          <w:rFonts w:ascii="Tahoma" w:eastAsia="Times New Roman" w:hAnsi="Tahoma" w:cs="Tahoma"/>
          <w:bCs/>
          <w:color w:val="333333"/>
          <w:sz w:val="21"/>
          <w:szCs w:val="21"/>
          <w:lang w:val="es-CL" w:eastAsia="es-ES"/>
        </w:rPr>
        <w:t xml:space="preserve"> </w:t>
      </w:r>
      <w:r w:rsidR="00227173">
        <w:rPr>
          <w:rFonts w:ascii="Tahoma" w:eastAsia="Times New Roman" w:hAnsi="Tahoma" w:cs="Tahoma"/>
          <w:bCs/>
          <w:color w:val="333333"/>
          <w:sz w:val="21"/>
          <w:szCs w:val="21"/>
          <w:lang w:val="es-CL" w:eastAsia="es-ES"/>
        </w:rPr>
        <w:t>(</w:t>
      </w:r>
      <w:r w:rsidR="00227173">
        <w:rPr>
          <w:rFonts w:ascii="Arial Unicode MS" w:eastAsia="Arial Unicode MS" w:hAnsi="Arial Unicode MS" w:cs="Arial Unicode MS" w:hint="eastAsia"/>
          <w:i/>
          <w:iCs/>
          <w:color w:val="000000"/>
          <w:spacing w:val="-4"/>
          <w:sz w:val="18"/>
          <w:szCs w:val="18"/>
          <w:lang w:val="es-CL"/>
        </w:rPr>
        <w:t>Real Academia Española © Todos los derechos reservados</w:t>
      </w:r>
      <w:r w:rsidR="00227173">
        <w:rPr>
          <w:rFonts w:ascii="Arial Unicode MS" w:eastAsia="Arial Unicode MS" w:hAnsi="Arial Unicode MS" w:cs="Arial Unicode MS"/>
          <w:i/>
          <w:iCs/>
          <w:color w:val="000000"/>
          <w:spacing w:val="-4"/>
          <w:sz w:val="18"/>
          <w:szCs w:val="18"/>
          <w:lang w:val="es-CL"/>
        </w:rPr>
        <w:t>)</w:t>
      </w:r>
    </w:p>
    <w:p w:rsidR="00227173" w:rsidRDefault="002E2326" w:rsidP="002E2326">
      <w:pPr>
        <w:spacing w:before="100" w:beforeAutospacing="1" w:after="100" w:afterAutospacing="1" w:line="408" w:lineRule="auto"/>
        <w:ind w:left="0"/>
        <w:jc w:val="left"/>
        <w:rPr>
          <w:rFonts w:ascii="inherit" w:hAnsi="inherit" w:cs="Times New Roman"/>
          <w:spacing w:val="4"/>
          <w:sz w:val="24"/>
          <w:szCs w:val="24"/>
          <w:lang w:val="es-CL" w:eastAsia="es-ES"/>
        </w:rPr>
      </w:pPr>
      <w:r>
        <w:rPr>
          <w:rFonts w:ascii="Tahoma" w:eastAsia="Times New Roman" w:hAnsi="Tahoma" w:cs="Tahoma"/>
          <w:bCs/>
          <w:color w:val="333333"/>
          <w:sz w:val="21"/>
          <w:szCs w:val="21"/>
          <w:lang w:val="es-CL" w:eastAsia="es-ES"/>
        </w:rPr>
        <w:t>Objetivo:</w:t>
      </w:r>
      <w:r w:rsidRPr="002E2326">
        <w:rPr>
          <w:rFonts w:ascii="Tahoma" w:eastAsia="Times New Roman" w:hAnsi="Tahoma" w:cs="Tahoma"/>
          <w:color w:val="333333"/>
          <w:sz w:val="21"/>
          <w:szCs w:val="21"/>
          <w:lang w:val="es-CL" w:eastAsia="es-ES"/>
        </w:rPr>
        <w:t xml:space="preserve"> </w:t>
      </w:r>
      <w:r w:rsidR="00227173" w:rsidRPr="00227173">
        <w:rPr>
          <w:rFonts w:ascii="Tahoma" w:eastAsia="Times New Roman" w:hAnsi="Tahoma" w:cs="Tahoma"/>
          <w:b/>
          <w:color w:val="333333"/>
          <w:sz w:val="21"/>
          <w:szCs w:val="21"/>
          <w:lang w:val="es-CL" w:eastAsia="es-ES"/>
        </w:rPr>
        <w:t>1.</w:t>
      </w:r>
      <w:r w:rsidR="00CF5CE4">
        <w:rPr>
          <w:rFonts w:ascii="Tahoma" w:eastAsia="Times New Roman" w:hAnsi="Tahoma" w:cs="Tahoma"/>
          <w:b/>
          <w:color w:val="333333"/>
          <w:sz w:val="21"/>
          <w:szCs w:val="21"/>
          <w:lang w:val="es-CL" w:eastAsia="es-ES"/>
        </w:rPr>
        <w:t xml:space="preserve"> </w:t>
      </w:r>
      <w:r w:rsidRPr="002E2326">
        <w:rPr>
          <w:rFonts w:ascii="Tahoma" w:eastAsia="Times New Roman" w:hAnsi="Tahoma" w:cs="Tahoma"/>
          <w:color w:val="333333"/>
          <w:sz w:val="21"/>
          <w:szCs w:val="21"/>
          <w:lang w:val="es-CL" w:eastAsia="es-ES"/>
        </w:rPr>
        <w:t>Perteneciente o relativo al objeto en sí mismo, con independencia de la propia manera de pensar o de sentir.</w:t>
      </w:r>
      <w:r w:rsidR="00227173">
        <w:rPr>
          <w:rFonts w:ascii="Tahoma" w:eastAsia="Times New Roman" w:hAnsi="Tahoma" w:cs="Tahoma"/>
          <w:color w:val="333333"/>
          <w:sz w:val="21"/>
          <w:szCs w:val="21"/>
          <w:lang w:val="es-CL" w:eastAsia="es-ES"/>
        </w:rPr>
        <w:t xml:space="preserve"> </w:t>
      </w:r>
      <w:r w:rsidR="00227173" w:rsidRPr="00227173">
        <w:rPr>
          <w:rFonts w:ascii="Tahoma" w:eastAsia="Times New Roman" w:hAnsi="Tahoma" w:cs="Tahoma"/>
          <w:b/>
          <w:color w:val="333333"/>
          <w:sz w:val="21"/>
          <w:szCs w:val="21"/>
          <w:lang w:val="es-CL" w:eastAsia="es-ES"/>
        </w:rPr>
        <w:t>3</w:t>
      </w:r>
      <w:r w:rsidRPr="00227173">
        <w:rPr>
          <w:rFonts w:ascii="Tahoma" w:eastAsia="Times New Roman" w:hAnsi="Tahoma" w:cs="Tahoma"/>
          <w:b/>
          <w:color w:val="333333"/>
          <w:sz w:val="21"/>
          <w:szCs w:val="21"/>
          <w:lang w:val="es-CL" w:eastAsia="es-ES"/>
        </w:rPr>
        <w:t>.</w:t>
      </w:r>
      <w:r w:rsidRPr="002E2326">
        <w:rPr>
          <w:rFonts w:ascii="Tahoma" w:eastAsia="Times New Roman" w:hAnsi="Tahoma" w:cs="Tahoma"/>
          <w:color w:val="333333"/>
          <w:sz w:val="21"/>
          <w:szCs w:val="21"/>
          <w:lang w:val="es-CL" w:eastAsia="es-ES"/>
        </w:rPr>
        <w:t> Que existe realmente, fuera del sujeto que lo conoce.</w:t>
      </w:r>
      <w:r w:rsidRPr="002E2326">
        <w:rPr>
          <w:rFonts w:ascii="inherit" w:hAnsi="inherit" w:cs="Times New Roman"/>
          <w:spacing w:val="4"/>
          <w:sz w:val="24"/>
          <w:szCs w:val="24"/>
          <w:lang w:val="es-CL" w:eastAsia="es-ES"/>
        </w:rPr>
        <w:t xml:space="preserve"> </w:t>
      </w:r>
    </w:p>
    <w:p w:rsidR="002E2326" w:rsidRPr="002E2326" w:rsidRDefault="00227173" w:rsidP="002E2326">
      <w:pPr>
        <w:spacing w:before="100" w:beforeAutospacing="1" w:after="100" w:afterAutospacing="1" w:line="408" w:lineRule="auto"/>
        <w:ind w:left="0"/>
        <w:jc w:val="left"/>
        <w:rPr>
          <w:rFonts w:ascii="Tahoma" w:eastAsia="Times New Roman" w:hAnsi="Tahoma" w:cs="Tahoma"/>
          <w:bCs/>
          <w:color w:val="333333"/>
          <w:sz w:val="21"/>
          <w:szCs w:val="21"/>
          <w:lang w:val="es-CL" w:eastAsia="es-ES"/>
        </w:rPr>
      </w:pPr>
      <w:r>
        <w:rPr>
          <w:rFonts w:ascii="Tahoma" w:eastAsia="Times New Roman" w:hAnsi="Tahoma" w:cs="Tahoma"/>
          <w:color w:val="333333"/>
          <w:sz w:val="21"/>
          <w:szCs w:val="21"/>
          <w:lang w:val="es-CL" w:eastAsia="es-ES"/>
        </w:rPr>
        <w:t xml:space="preserve">Cuantificable: </w:t>
      </w:r>
      <w:r w:rsidR="002E2326" w:rsidRPr="002E2326">
        <w:rPr>
          <w:rFonts w:ascii="Tahoma" w:eastAsia="Times New Roman" w:hAnsi="Tahoma" w:cs="Tahoma"/>
          <w:color w:val="333333"/>
          <w:sz w:val="21"/>
          <w:szCs w:val="21"/>
          <w:lang w:val="es-CL" w:eastAsia="es-ES"/>
        </w:rPr>
        <w:t>Que se puede cuantificar.</w:t>
      </w:r>
    </w:p>
    <w:p w:rsidR="00490E09" w:rsidRDefault="006F527D" w:rsidP="00646E52">
      <w:pPr>
        <w:spacing w:before="100" w:beforeAutospacing="1" w:after="100" w:afterAutospacing="1" w:line="408" w:lineRule="auto"/>
        <w:ind w:left="0"/>
        <w:rPr>
          <w:rFonts w:ascii="Tahoma" w:eastAsia="Times New Roman" w:hAnsi="Tahoma" w:cs="Tahoma"/>
          <w:b/>
          <w:bCs/>
          <w:color w:val="333333"/>
          <w:sz w:val="21"/>
          <w:szCs w:val="21"/>
          <w:lang w:eastAsia="es-ES"/>
        </w:rPr>
      </w:pPr>
      <w:r>
        <w:rPr>
          <w:rFonts w:ascii="Tahoma" w:eastAsia="Times New Roman" w:hAnsi="Tahoma" w:cs="Tahoma"/>
          <w:b/>
          <w:bCs/>
          <w:color w:val="333333"/>
          <w:sz w:val="21"/>
          <w:szCs w:val="21"/>
          <w:lang w:eastAsia="es-ES"/>
        </w:rPr>
        <w:t>9.- Descuentos retroactivos:</w:t>
      </w:r>
    </w:p>
    <w:p w:rsidR="00972B5C" w:rsidRDefault="006F527D" w:rsidP="00972B5C">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M</w:t>
      </w:r>
      <w:r w:rsidRPr="00646E52">
        <w:rPr>
          <w:rFonts w:ascii="Tahoma" w:eastAsia="Times New Roman" w:hAnsi="Tahoma" w:cs="Tahoma"/>
          <w:color w:val="333333"/>
          <w:sz w:val="21"/>
          <w:szCs w:val="21"/>
          <w:lang w:eastAsia="es-ES"/>
        </w:rPr>
        <w:t xml:space="preserve">arque con una </w:t>
      </w:r>
      <w:r>
        <w:rPr>
          <w:rFonts w:ascii="Tahoma" w:eastAsia="Times New Roman" w:hAnsi="Tahoma" w:cs="Tahoma"/>
          <w:color w:val="333333"/>
          <w:sz w:val="21"/>
          <w:szCs w:val="21"/>
          <w:lang w:eastAsia="es-ES"/>
        </w:rPr>
        <w:t xml:space="preserve">“X” lo que </w:t>
      </w:r>
      <w:r w:rsidRPr="00646E52">
        <w:rPr>
          <w:rFonts w:ascii="Tahoma" w:eastAsia="Times New Roman" w:hAnsi="Tahoma" w:cs="Tahoma"/>
          <w:color w:val="333333"/>
          <w:sz w:val="21"/>
          <w:szCs w:val="21"/>
          <w:lang w:eastAsia="es-ES"/>
        </w:rPr>
        <w:t>corresponda (Si/No)</w:t>
      </w:r>
      <w:r>
        <w:rPr>
          <w:rFonts w:ascii="Tahoma" w:eastAsia="Times New Roman" w:hAnsi="Tahoma" w:cs="Tahoma"/>
          <w:color w:val="333333"/>
          <w:sz w:val="21"/>
          <w:szCs w:val="21"/>
          <w:lang w:eastAsia="es-ES"/>
        </w:rPr>
        <w:t xml:space="preserve"> considerando lo dispuesto en la Opinión Consultiva 8.1 OMC</w:t>
      </w:r>
      <w:r w:rsidR="00A426E6">
        <w:rPr>
          <w:rFonts w:ascii="Tahoma" w:eastAsia="Times New Roman" w:hAnsi="Tahoma" w:cs="Tahoma"/>
          <w:color w:val="333333"/>
          <w:sz w:val="21"/>
          <w:szCs w:val="21"/>
          <w:lang w:eastAsia="es-ES"/>
        </w:rPr>
        <w:t>.</w:t>
      </w:r>
    </w:p>
    <w:p w:rsidR="00972B5C" w:rsidRPr="00972B5C" w:rsidRDefault="006F527D"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Pr>
          <w:rFonts w:ascii="Tahoma" w:eastAsia="Times New Roman" w:hAnsi="Tahoma" w:cs="Tahoma"/>
          <w:color w:val="333333"/>
          <w:sz w:val="21"/>
          <w:szCs w:val="21"/>
          <w:lang w:eastAsia="es-ES"/>
        </w:rPr>
        <w:t xml:space="preserve"> “</w:t>
      </w:r>
      <w:r w:rsidR="00972B5C" w:rsidRPr="00A426E6">
        <w:rPr>
          <w:rFonts w:ascii="Tahoma" w:eastAsia="Times New Roman" w:hAnsi="Tahoma" w:cs="Tahoma"/>
          <w:bCs/>
          <w:color w:val="333333"/>
          <w:sz w:val="21"/>
          <w:szCs w:val="21"/>
          <w:lang w:val="es-ES_tradnl" w:eastAsia="es-ES"/>
        </w:rPr>
        <w:t>OPINIÓN CONSULTIVA 8.1.</w:t>
      </w:r>
      <w:r w:rsidR="00972B5C" w:rsidRPr="00972B5C">
        <w:rPr>
          <w:rFonts w:ascii="Tahoma" w:eastAsia="Times New Roman" w:hAnsi="Tahoma" w:cs="Tahoma"/>
          <w:color w:val="333333"/>
          <w:sz w:val="21"/>
          <w:szCs w:val="21"/>
          <w:lang w:val="es-ES_tradnl" w:eastAsia="es-ES"/>
        </w:rPr>
        <w:t xml:space="preserve"> TRATO APLICABLE CON ARREGLO AL ACUERDO A LOS DESCUENTOS RELACIONADOS CON TRANSACCIONES ANTERIORES</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 xml:space="preserve">1. Según el Acuerdo sobre Valoración, ¿qué trato ha de aplicarse a los descuentos concedidos en relación con transacciones anteriores cuando han de valorarse las mercancías a las que se ha aplicado el descuento? </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 xml:space="preserve">2. El Comité Técnico de Valoración en Aduana ha expresado la opinión siguiente: </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El importe del descuento representa un importe que se ha pagado ya al vendedor, y, por consiguiente, está cubierto por la nota interpretativa del articulo 1 relativa al "precio pagado o por pagar", en la que se especifica que el precio realmente pagado o por pagar es el pago total que por las mercancías importadas haya hecho o vaya a hacer el comprador al vendedor. Así pues, el descuento forma parte del precio pagado y a efectos de valoración, debe incluirse en el valor de transacción.</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lastRenderedPageBreak/>
        <w:t>El trato que las aduanas deben aplicar a la transacción anterior que originó el crédito, tiene que ser independiente de la decisión sobre el valor en aduana apropiado del envío que se está despachando. La decisión de efectuar o no un ajuste en el valor del envío anterior depende de la legislación nacional.</w:t>
      </w:r>
      <w:r>
        <w:rPr>
          <w:rFonts w:ascii="Tahoma" w:eastAsia="Times New Roman" w:hAnsi="Tahoma" w:cs="Tahoma"/>
          <w:color w:val="333333"/>
          <w:sz w:val="21"/>
          <w:szCs w:val="21"/>
          <w:lang w:val="es-ES_tradnl" w:eastAsia="es-ES"/>
        </w:rPr>
        <w:t>”</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IV.- Método de Valor</w:t>
      </w:r>
      <w:r w:rsidR="00490E09">
        <w:rPr>
          <w:rFonts w:ascii="Tahoma" w:eastAsia="Times New Roman" w:hAnsi="Tahoma" w:cs="Tahoma"/>
          <w:b/>
          <w:bCs/>
          <w:color w:val="333333"/>
          <w:sz w:val="21"/>
          <w:szCs w:val="21"/>
          <w:lang w:eastAsia="es-ES"/>
        </w:rPr>
        <w:t>ación</w:t>
      </w:r>
      <w:r w:rsidRPr="00646E52">
        <w:rPr>
          <w:rFonts w:ascii="Tahoma" w:eastAsia="Times New Roman" w:hAnsi="Tahoma" w:cs="Tahoma"/>
          <w:b/>
          <w:bCs/>
          <w:color w:val="333333"/>
          <w:sz w:val="21"/>
          <w:szCs w:val="21"/>
          <w:lang w:eastAsia="es-ES"/>
        </w:rPr>
        <w:t xml:space="preserve"> Empleado </w:t>
      </w:r>
    </w:p>
    <w:p w:rsidR="00DF6FE5" w:rsidRPr="00DF6FE5" w:rsidRDefault="00DF6FE5" w:rsidP="00DF6FE5">
      <w:pPr>
        <w:spacing w:before="100" w:beforeAutospacing="1" w:after="100" w:afterAutospacing="1" w:line="408" w:lineRule="auto"/>
        <w:ind w:left="0"/>
        <w:rPr>
          <w:rFonts w:ascii="Tahoma" w:eastAsia="Times New Roman" w:hAnsi="Tahoma" w:cs="Tahoma"/>
          <w:color w:val="333333"/>
          <w:sz w:val="21"/>
          <w:szCs w:val="21"/>
          <w:lang w:eastAsia="es-ES"/>
        </w:rPr>
      </w:pPr>
      <w:r w:rsidRPr="00DF6FE5">
        <w:rPr>
          <w:rFonts w:ascii="Tahoma" w:eastAsia="Times New Roman" w:hAnsi="Tahoma" w:cs="Tahoma"/>
          <w:color w:val="333333"/>
          <w:sz w:val="21"/>
          <w:szCs w:val="21"/>
          <w:lang w:eastAsia="es-ES"/>
        </w:rPr>
        <w:t xml:space="preserve">Indique el método de valoración empleado en la declaración de ingreso correspondiente, </w:t>
      </w:r>
      <w:r>
        <w:rPr>
          <w:rFonts w:ascii="Tahoma" w:eastAsia="Times New Roman" w:hAnsi="Tahoma" w:cs="Tahoma"/>
          <w:color w:val="333333"/>
          <w:sz w:val="21"/>
          <w:szCs w:val="21"/>
          <w:lang w:eastAsia="es-ES"/>
        </w:rPr>
        <w:t xml:space="preserve">(Acuerdo de Valoración de la OMC) </w:t>
      </w:r>
      <w:r w:rsidRPr="00DF6FE5">
        <w:rPr>
          <w:rFonts w:ascii="Tahoma" w:eastAsia="Times New Roman" w:hAnsi="Tahoma" w:cs="Tahoma"/>
          <w:color w:val="333333"/>
          <w:sz w:val="21"/>
          <w:szCs w:val="21"/>
          <w:lang w:eastAsia="es-ES"/>
        </w:rPr>
        <w:t xml:space="preserve">ej.: </w:t>
      </w:r>
      <w:r w:rsidR="00F12F40">
        <w:rPr>
          <w:rFonts w:ascii="Tahoma" w:eastAsia="Times New Roman" w:hAnsi="Tahoma" w:cs="Tahoma"/>
          <w:color w:val="333333"/>
          <w:sz w:val="21"/>
          <w:szCs w:val="21"/>
          <w:lang w:eastAsia="es-ES"/>
        </w:rPr>
        <w:t xml:space="preserve">valor </w:t>
      </w:r>
      <w:r w:rsidRPr="00DF6FE5">
        <w:rPr>
          <w:rFonts w:ascii="Tahoma" w:eastAsia="Times New Roman" w:hAnsi="Tahoma" w:cs="Tahoma"/>
          <w:color w:val="333333"/>
          <w:sz w:val="21"/>
          <w:szCs w:val="21"/>
          <w:lang w:eastAsia="es-ES"/>
        </w:rPr>
        <w:t xml:space="preserve">de transacción; </w:t>
      </w:r>
      <w:r w:rsidR="00F12F40">
        <w:rPr>
          <w:rFonts w:ascii="Tahoma" w:eastAsia="Times New Roman" w:hAnsi="Tahoma" w:cs="Tahoma"/>
          <w:color w:val="333333"/>
          <w:sz w:val="21"/>
          <w:szCs w:val="21"/>
          <w:lang w:eastAsia="es-ES"/>
        </w:rPr>
        <w:t xml:space="preserve">valor de transacción de </w:t>
      </w:r>
      <w:r w:rsidRPr="00DF6FE5">
        <w:rPr>
          <w:rFonts w:ascii="Tahoma" w:eastAsia="Times New Roman" w:hAnsi="Tahoma" w:cs="Tahoma"/>
          <w:color w:val="333333"/>
          <w:sz w:val="21"/>
          <w:szCs w:val="21"/>
          <w:lang w:eastAsia="es-ES"/>
        </w:rPr>
        <w:t xml:space="preserve">mercancías idénticas; </w:t>
      </w:r>
      <w:r w:rsidR="00F12F40">
        <w:rPr>
          <w:rFonts w:ascii="Tahoma" w:eastAsia="Times New Roman" w:hAnsi="Tahoma" w:cs="Tahoma"/>
          <w:color w:val="333333"/>
          <w:sz w:val="21"/>
          <w:szCs w:val="21"/>
          <w:lang w:eastAsia="es-ES"/>
        </w:rPr>
        <w:t xml:space="preserve">valor de transacción de </w:t>
      </w:r>
      <w:r w:rsidRPr="00DF6FE5">
        <w:rPr>
          <w:rFonts w:ascii="Tahoma" w:eastAsia="Times New Roman" w:hAnsi="Tahoma" w:cs="Tahoma"/>
          <w:color w:val="333333"/>
          <w:sz w:val="21"/>
          <w:szCs w:val="21"/>
          <w:lang w:eastAsia="es-ES"/>
        </w:rPr>
        <w:t>mercancías similares</w:t>
      </w:r>
      <w:r>
        <w:rPr>
          <w:rFonts w:ascii="Tahoma" w:eastAsia="Times New Roman" w:hAnsi="Tahoma" w:cs="Tahoma"/>
          <w:color w:val="333333"/>
          <w:sz w:val="21"/>
          <w:szCs w:val="21"/>
          <w:lang w:eastAsia="es-ES"/>
        </w:rPr>
        <w:t>, etc.</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V.- Observaciones</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cualquier dato o información que Ud. estime de importancia o relevancia agregar, en relación con la transacción de que se trata, y que los recuadros del presente formulario no le </w:t>
      </w:r>
      <w:r w:rsidR="006277BF" w:rsidRPr="00646E52">
        <w:rPr>
          <w:rFonts w:ascii="Tahoma" w:eastAsia="Times New Roman" w:hAnsi="Tahoma" w:cs="Tahoma"/>
          <w:color w:val="333333"/>
          <w:sz w:val="21"/>
          <w:szCs w:val="21"/>
          <w:lang w:eastAsia="es-ES"/>
        </w:rPr>
        <w:t>permitieron</w:t>
      </w:r>
      <w:r w:rsidRPr="00646E52">
        <w:rPr>
          <w:rFonts w:ascii="Tahoma" w:eastAsia="Times New Roman" w:hAnsi="Tahoma" w:cs="Tahoma"/>
          <w:color w:val="333333"/>
          <w:sz w:val="21"/>
          <w:szCs w:val="21"/>
          <w:lang w:eastAsia="es-ES"/>
        </w:rPr>
        <w:t xml:space="preserve"> hacer.</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VI.- Declarante</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El importador o comprador debe leer atentamente las notas de este título, </w:t>
      </w:r>
      <w:r w:rsidR="003C36F4">
        <w:rPr>
          <w:rFonts w:ascii="Tahoma" w:eastAsia="Times New Roman" w:hAnsi="Tahoma" w:cs="Tahoma"/>
          <w:color w:val="333333"/>
          <w:sz w:val="21"/>
          <w:szCs w:val="21"/>
          <w:lang w:eastAsia="es-ES"/>
        </w:rPr>
        <w:t xml:space="preserve">las cuales </w:t>
      </w:r>
      <w:r w:rsidRPr="00646E52">
        <w:rPr>
          <w:rFonts w:ascii="Tahoma" w:eastAsia="Times New Roman" w:hAnsi="Tahoma" w:cs="Tahoma"/>
          <w:color w:val="333333"/>
          <w:sz w:val="21"/>
          <w:szCs w:val="21"/>
          <w:lang w:eastAsia="es-ES"/>
        </w:rPr>
        <w:t>son de su interés.</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Nombre y firma del Importador/Representante Legal/Fecha</w:t>
      </w:r>
    </w:p>
    <w:p w:rsidR="00646E52" w:rsidRPr="00646E52" w:rsidRDefault="00646E52" w:rsidP="00646E52">
      <w:pPr>
        <w:spacing w:before="100" w:beforeAutospacing="1" w:after="240"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Indique el nombre o razón social del importador o de su representante legal, según corresponda; suscriba la declaración jurada e indique la fecha.</w:t>
      </w:r>
    </w:p>
    <w:p w:rsidR="00363545" w:rsidRDefault="00363545"/>
    <w:sectPr w:rsidR="00363545" w:rsidSect="00363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23C2"/>
    <w:multiLevelType w:val="multilevel"/>
    <w:tmpl w:val="595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2"/>
    <w:rsid w:val="000215D7"/>
    <w:rsid w:val="000C619F"/>
    <w:rsid w:val="00103748"/>
    <w:rsid w:val="001C2EA0"/>
    <w:rsid w:val="00206BA7"/>
    <w:rsid w:val="00227173"/>
    <w:rsid w:val="00292CEE"/>
    <w:rsid w:val="002C162F"/>
    <w:rsid w:val="002C339F"/>
    <w:rsid w:val="002E2326"/>
    <w:rsid w:val="00357F50"/>
    <w:rsid w:val="00363545"/>
    <w:rsid w:val="00382C17"/>
    <w:rsid w:val="003C36F4"/>
    <w:rsid w:val="003D7EF1"/>
    <w:rsid w:val="003E1D37"/>
    <w:rsid w:val="003E3FEA"/>
    <w:rsid w:val="003F698D"/>
    <w:rsid w:val="004274A1"/>
    <w:rsid w:val="004446B5"/>
    <w:rsid w:val="00490E09"/>
    <w:rsid w:val="004B06D2"/>
    <w:rsid w:val="006277BF"/>
    <w:rsid w:val="006337FF"/>
    <w:rsid w:val="00646E52"/>
    <w:rsid w:val="0065206F"/>
    <w:rsid w:val="006C36A0"/>
    <w:rsid w:val="006F527D"/>
    <w:rsid w:val="0071437F"/>
    <w:rsid w:val="00786451"/>
    <w:rsid w:val="007C5924"/>
    <w:rsid w:val="00852D2F"/>
    <w:rsid w:val="008E4186"/>
    <w:rsid w:val="0090290D"/>
    <w:rsid w:val="00903E7D"/>
    <w:rsid w:val="00911031"/>
    <w:rsid w:val="00952793"/>
    <w:rsid w:val="00952D18"/>
    <w:rsid w:val="00972B5C"/>
    <w:rsid w:val="00973683"/>
    <w:rsid w:val="00981EF0"/>
    <w:rsid w:val="00986075"/>
    <w:rsid w:val="0099594D"/>
    <w:rsid w:val="00A10F59"/>
    <w:rsid w:val="00A35B9A"/>
    <w:rsid w:val="00A426E6"/>
    <w:rsid w:val="00A534F2"/>
    <w:rsid w:val="00A8428C"/>
    <w:rsid w:val="00A91F07"/>
    <w:rsid w:val="00B7525F"/>
    <w:rsid w:val="00BE45C2"/>
    <w:rsid w:val="00C2412D"/>
    <w:rsid w:val="00CD0FAE"/>
    <w:rsid w:val="00CF5CE4"/>
    <w:rsid w:val="00D72714"/>
    <w:rsid w:val="00DF6FE5"/>
    <w:rsid w:val="00F12F40"/>
    <w:rsid w:val="00F65B1D"/>
    <w:rsid w:val="00FC61FF"/>
    <w:rsid w:val="00FD0869"/>
    <w:rsid w:val="00FE2532"/>
    <w:rsid w:val="00FE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BA39A-6AFD-4E76-BD68-C25BD8B8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45"/>
  </w:style>
  <w:style w:type="paragraph" w:styleId="Ttulo1">
    <w:name w:val="heading 1"/>
    <w:basedOn w:val="Normal"/>
    <w:link w:val="Ttulo1Car"/>
    <w:uiPriority w:val="9"/>
    <w:qFormat/>
    <w:rsid w:val="00646E52"/>
    <w:pPr>
      <w:spacing w:before="100" w:beforeAutospacing="1" w:after="100" w:afterAutospacing="1"/>
      <w:ind w:left="0"/>
      <w:jc w:val="left"/>
      <w:outlineLvl w:val="0"/>
    </w:pPr>
    <w:rPr>
      <w:rFonts w:ascii="Tahoma" w:eastAsia="Times New Roman" w:hAnsi="Tahoma" w:cs="Tahoma"/>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E52"/>
    <w:rPr>
      <w:rFonts w:ascii="Tahoma" w:eastAsia="Times New Roman" w:hAnsi="Tahoma" w:cs="Tahoma"/>
      <w:b/>
      <w:bCs/>
      <w:kern w:val="36"/>
      <w:sz w:val="48"/>
      <w:szCs w:val="48"/>
      <w:lang w:eastAsia="es-ES"/>
    </w:rPr>
  </w:style>
  <w:style w:type="paragraph" w:styleId="NormalWeb">
    <w:name w:val="Normal (Web)"/>
    <w:basedOn w:val="Normal"/>
    <w:uiPriority w:val="99"/>
    <w:unhideWhenUsed/>
    <w:rsid w:val="00646E52"/>
    <w:pPr>
      <w:spacing w:before="100" w:beforeAutospacing="1" w:after="100" w:afterAutospacing="1"/>
      <w:ind w:left="0"/>
      <w:jc w:val="left"/>
    </w:pPr>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646E52"/>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E52"/>
    <w:rPr>
      <w:rFonts w:ascii="Tahoma" w:hAnsi="Tahoma" w:cs="Tahoma"/>
      <w:sz w:val="16"/>
      <w:szCs w:val="16"/>
    </w:rPr>
  </w:style>
  <w:style w:type="character" w:styleId="Textoennegrita">
    <w:name w:val="Strong"/>
    <w:basedOn w:val="Fuentedeprrafopredeter"/>
    <w:uiPriority w:val="22"/>
    <w:qFormat/>
    <w:rsid w:val="004274A1"/>
    <w:rPr>
      <w:b/>
      <w:bCs/>
    </w:rPr>
  </w:style>
  <w:style w:type="character" w:customStyle="1" w:styleId="apple-converted-space">
    <w:name w:val="apple-converted-space"/>
    <w:basedOn w:val="Fuentedeprrafopredeter"/>
    <w:rsid w:val="0042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75">
      <w:bodyDiv w:val="1"/>
      <w:marLeft w:val="0"/>
      <w:marRight w:val="0"/>
      <w:marTop w:val="0"/>
      <w:marBottom w:val="0"/>
      <w:divBdr>
        <w:top w:val="none" w:sz="0" w:space="0" w:color="auto"/>
        <w:left w:val="none" w:sz="0" w:space="0" w:color="auto"/>
        <w:bottom w:val="none" w:sz="0" w:space="0" w:color="auto"/>
        <w:right w:val="none" w:sz="0" w:space="0" w:color="auto"/>
      </w:divBdr>
    </w:div>
    <w:div w:id="180749028">
      <w:bodyDiv w:val="1"/>
      <w:marLeft w:val="0"/>
      <w:marRight w:val="0"/>
      <w:marTop w:val="0"/>
      <w:marBottom w:val="0"/>
      <w:divBdr>
        <w:top w:val="none" w:sz="0" w:space="0" w:color="auto"/>
        <w:left w:val="none" w:sz="0" w:space="0" w:color="auto"/>
        <w:bottom w:val="none" w:sz="0" w:space="0" w:color="auto"/>
        <w:right w:val="none" w:sz="0" w:space="0" w:color="auto"/>
      </w:divBdr>
    </w:div>
    <w:div w:id="348338039">
      <w:bodyDiv w:val="1"/>
      <w:marLeft w:val="0"/>
      <w:marRight w:val="0"/>
      <w:marTop w:val="0"/>
      <w:marBottom w:val="0"/>
      <w:divBdr>
        <w:top w:val="none" w:sz="0" w:space="0" w:color="auto"/>
        <w:left w:val="none" w:sz="0" w:space="0" w:color="auto"/>
        <w:bottom w:val="none" w:sz="0" w:space="0" w:color="auto"/>
        <w:right w:val="none" w:sz="0" w:space="0" w:color="auto"/>
      </w:divBdr>
      <w:divsChild>
        <w:div w:id="692650038">
          <w:marLeft w:val="0"/>
          <w:marRight w:val="0"/>
          <w:marTop w:val="0"/>
          <w:marBottom w:val="0"/>
          <w:divBdr>
            <w:top w:val="none" w:sz="0" w:space="0" w:color="auto"/>
            <w:left w:val="none" w:sz="0" w:space="0" w:color="auto"/>
            <w:bottom w:val="none" w:sz="0" w:space="0" w:color="auto"/>
            <w:right w:val="none" w:sz="0" w:space="0" w:color="auto"/>
          </w:divBdr>
          <w:divsChild>
            <w:div w:id="130490538">
              <w:marLeft w:val="0"/>
              <w:marRight w:val="0"/>
              <w:marTop w:val="0"/>
              <w:marBottom w:val="0"/>
              <w:divBdr>
                <w:top w:val="none" w:sz="0" w:space="0" w:color="auto"/>
                <w:left w:val="none" w:sz="0" w:space="0" w:color="auto"/>
                <w:bottom w:val="none" w:sz="0" w:space="0" w:color="auto"/>
                <w:right w:val="none" w:sz="0" w:space="0" w:color="auto"/>
              </w:divBdr>
              <w:divsChild>
                <w:div w:id="1183394636">
                  <w:marLeft w:val="0"/>
                  <w:marRight w:val="0"/>
                  <w:marTop w:val="0"/>
                  <w:marBottom w:val="0"/>
                  <w:divBdr>
                    <w:top w:val="none" w:sz="0" w:space="0" w:color="auto"/>
                    <w:left w:val="none" w:sz="0" w:space="0" w:color="auto"/>
                    <w:bottom w:val="none" w:sz="0" w:space="0" w:color="auto"/>
                    <w:right w:val="none" w:sz="0" w:space="0" w:color="auto"/>
                  </w:divBdr>
                  <w:divsChild>
                    <w:div w:id="461460471">
                      <w:marLeft w:val="0"/>
                      <w:marRight w:val="0"/>
                      <w:marTop w:val="0"/>
                      <w:marBottom w:val="0"/>
                      <w:divBdr>
                        <w:top w:val="none" w:sz="0" w:space="0" w:color="auto"/>
                        <w:left w:val="none" w:sz="0" w:space="0" w:color="auto"/>
                        <w:bottom w:val="none" w:sz="0" w:space="0" w:color="auto"/>
                        <w:right w:val="none" w:sz="0" w:space="0" w:color="auto"/>
                      </w:divBdr>
                      <w:divsChild>
                        <w:div w:id="504898583">
                          <w:marLeft w:val="0"/>
                          <w:marRight w:val="0"/>
                          <w:marTop w:val="0"/>
                          <w:marBottom w:val="0"/>
                          <w:divBdr>
                            <w:top w:val="none" w:sz="0" w:space="0" w:color="auto"/>
                            <w:left w:val="none" w:sz="0" w:space="0" w:color="auto"/>
                            <w:bottom w:val="none" w:sz="0" w:space="0" w:color="auto"/>
                            <w:right w:val="none" w:sz="0" w:space="0" w:color="auto"/>
                          </w:divBdr>
                          <w:divsChild>
                            <w:div w:id="126807853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07735">
      <w:bodyDiv w:val="1"/>
      <w:marLeft w:val="0"/>
      <w:marRight w:val="0"/>
      <w:marTop w:val="0"/>
      <w:marBottom w:val="0"/>
      <w:divBdr>
        <w:top w:val="none" w:sz="0" w:space="0" w:color="auto"/>
        <w:left w:val="none" w:sz="0" w:space="0" w:color="auto"/>
        <w:bottom w:val="none" w:sz="0" w:space="0" w:color="auto"/>
        <w:right w:val="none" w:sz="0" w:space="0" w:color="auto"/>
      </w:divBdr>
      <w:divsChild>
        <w:div w:id="1531265299">
          <w:marLeft w:val="0"/>
          <w:marRight w:val="0"/>
          <w:marTop w:val="0"/>
          <w:marBottom w:val="0"/>
          <w:divBdr>
            <w:top w:val="none" w:sz="0" w:space="0" w:color="auto"/>
            <w:left w:val="none" w:sz="0" w:space="0" w:color="auto"/>
            <w:bottom w:val="none" w:sz="0" w:space="0" w:color="auto"/>
            <w:right w:val="none" w:sz="0" w:space="0" w:color="auto"/>
          </w:divBdr>
          <w:divsChild>
            <w:div w:id="56633726">
              <w:marLeft w:val="0"/>
              <w:marRight w:val="0"/>
              <w:marTop w:val="0"/>
              <w:marBottom w:val="0"/>
              <w:divBdr>
                <w:top w:val="none" w:sz="0" w:space="0" w:color="auto"/>
                <w:left w:val="none" w:sz="0" w:space="0" w:color="auto"/>
                <w:bottom w:val="none" w:sz="0" w:space="0" w:color="auto"/>
                <w:right w:val="none" w:sz="0" w:space="0" w:color="auto"/>
              </w:divBdr>
              <w:divsChild>
                <w:div w:id="1180435676">
                  <w:marLeft w:val="0"/>
                  <w:marRight w:val="0"/>
                  <w:marTop w:val="0"/>
                  <w:marBottom w:val="0"/>
                  <w:divBdr>
                    <w:top w:val="none" w:sz="0" w:space="0" w:color="auto"/>
                    <w:left w:val="none" w:sz="0" w:space="0" w:color="auto"/>
                    <w:bottom w:val="none" w:sz="0" w:space="0" w:color="auto"/>
                    <w:right w:val="none" w:sz="0" w:space="0" w:color="auto"/>
                  </w:divBdr>
                  <w:divsChild>
                    <w:div w:id="1582063785">
                      <w:marLeft w:val="0"/>
                      <w:marRight w:val="0"/>
                      <w:marTop w:val="0"/>
                      <w:marBottom w:val="0"/>
                      <w:divBdr>
                        <w:top w:val="none" w:sz="0" w:space="0" w:color="auto"/>
                        <w:left w:val="none" w:sz="0" w:space="0" w:color="auto"/>
                        <w:bottom w:val="none" w:sz="0" w:space="0" w:color="auto"/>
                        <w:right w:val="none" w:sz="0" w:space="0" w:color="auto"/>
                      </w:divBdr>
                      <w:divsChild>
                        <w:div w:id="1876691958">
                          <w:marLeft w:val="0"/>
                          <w:marRight w:val="0"/>
                          <w:marTop w:val="0"/>
                          <w:marBottom w:val="0"/>
                          <w:divBdr>
                            <w:top w:val="none" w:sz="0" w:space="0" w:color="auto"/>
                            <w:left w:val="none" w:sz="0" w:space="0" w:color="auto"/>
                            <w:bottom w:val="none" w:sz="0" w:space="0" w:color="auto"/>
                            <w:right w:val="none" w:sz="0" w:space="0" w:color="auto"/>
                          </w:divBdr>
                          <w:divsChild>
                            <w:div w:id="191778713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4612">
      <w:bodyDiv w:val="1"/>
      <w:marLeft w:val="0"/>
      <w:marRight w:val="0"/>
      <w:marTop w:val="0"/>
      <w:marBottom w:val="0"/>
      <w:divBdr>
        <w:top w:val="none" w:sz="0" w:space="0" w:color="auto"/>
        <w:left w:val="none" w:sz="0" w:space="0" w:color="auto"/>
        <w:bottom w:val="none" w:sz="0" w:space="0" w:color="auto"/>
        <w:right w:val="none" w:sz="0" w:space="0" w:color="auto"/>
      </w:divBdr>
    </w:div>
    <w:div w:id="616716535">
      <w:bodyDiv w:val="1"/>
      <w:marLeft w:val="0"/>
      <w:marRight w:val="0"/>
      <w:marTop w:val="0"/>
      <w:marBottom w:val="0"/>
      <w:divBdr>
        <w:top w:val="none" w:sz="0" w:space="0" w:color="auto"/>
        <w:left w:val="none" w:sz="0" w:space="0" w:color="auto"/>
        <w:bottom w:val="none" w:sz="0" w:space="0" w:color="auto"/>
        <w:right w:val="none" w:sz="0" w:space="0" w:color="auto"/>
      </w:divBdr>
    </w:div>
    <w:div w:id="725877327">
      <w:bodyDiv w:val="1"/>
      <w:marLeft w:val="0"/>
      <w:marRight w:val="0"/>
      <w:marTop w:val="0"/>
      <w:marBottom w:val="0"/>
      <w:divBdr>
        <w:top w:val="none" w:sz="0" w:space="0" w:color="auto"/>
        <w:left w:val="none" w:sz="0" w:space="0" w:color="auto"/>
        <w:bottom w:val="none" w:sz="0" w:space="0" w:color="auto"/>
        <w:right w:val="none" w:sz="0" w:space="0" w:color="auto"/>
      </w:divBdr>
      <w:divsChild>
        <w:div w:id="1924484102">
          <w:marLeft w:val="0"/>
          <w:marRight w:val="0"/>
          <w:marTop w:val="0"/>
          <w:marBottom w:val="0"/>
          <w:divBdr>
            <w:top w:val="none" w:sz="0" w:space="0" w:color="auto"/>
            <w:left w:val="none" w:sz="0" w:space="0" w:color="auto"/>
            <w:bottom w:val="none" w:sz="0" w:space="0" w:color="auto"/>
            <w:right w:val="none" w:sz="0" w:space="0" w:color="auto"/>
          </w:divBdr>
          <w:divsChild>
            <w:div w:id="574362458">
              <w:marLeft w:val="0"/>
              <w:marRight w:val="0"/>
              <w:marTop w:val="0"/>
              <w:marBottom w:val="0"/>
              <w:divBdr>
                <w:top w:val="none" w:sz="0" w:space="0" w:color="auto"/>
                <w:left w:val="none" w:sz="0" w:space="0" w:color="auto"/>
                <w:bottom w:val="none" w:sz="0" w:space="0" w:color="auto"/>
                <w:right w:val="none" w:sz="0" w:space="0" w:color="auto"/>
              </w:divBdr>
              <w:divsChild>
                <w:div w:id="1021392120">
                  <w:marLeft w:val="0"/>
                  <w:marRight w:val="0"/>
                  <w:marTop w:val="0"/>
                  <w:marBottom w:val="0"/>
                  <w:divBdr>
                    <w:top w:val="none" w:sz="0" w:space="0" w:color="auto"/>
                    <w:left w:val="none" w:sz="0" w:space="0" w:color="auto"/>
                    <w:bottom w:val="none" w:sz="0" w:space="0" w:color="auto"/>
                    <w:right w:val="none" w:sz="0" w:space="0" w:color="auto"/>
                  </w:divBdr>
                  <w:divsChild>
                    <w:div w:id="1266966029">
                      <w:marLeft w:val="0"/>
                      <w:marRight w:val="0"/>
                      <w:marTop w:val="0"/>
                      <w:marBottom w:val="0"/>
                      <w:divBdr>
                        <w:top w:val="none" w:sz="0" w:space="0" w:color="auto"/>
                        <w:left w:val="none" w:sz="0" w:space="0" w:color="auto"/>
                        <w:bottom w:val="none" w:sz="0" w:space="0" w:color="auto"/>
                        <w:right w:val="none" w:sz="0" w:space="0" w:color="auto"/>
                      </w:divBdr>
                      <w:divsChild>
                        <w:div w:id="1083918426">
                          <w:marLeft w:val="0"/>
                          <w:marRight w:val="0"/>
                          <w:marTop w:val="0"/>
                          <w:marBottom w:val="0"/>
                          <w:divBdr>
                            <w:top w:val="none" w:sz="0" w:space="0" w:color="auto"/>
                            <w:left w:val="none" w:sz="0" w:space="0" w:color="auto"/>
                            <w:bottom w:val="none" w:sz="0" w:space="0" w:color="auto"/>
                            <w:right w:val="none" w:sz="0" w:space="0" w:color="auto"/>
                          </w:divBdr>
                          <w:divsChild>
                            <w:div w:id="29132532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6282">
      <w:bodyDiv w:val="1"/>
      <w:marLeft w:val="0"/>
      <w:marRight w:val="0"/>
      <w:marTop w:val="0"/>
      <w:marBottom w:val="0"/>
      <w:divBdr>
        <w:top w:val="none" w:sz="0" w:space="0" w:color="auto"/>
        <w:left w:val="none" w:sz="0" w:space="0" w:color="auto"/>
        <w:bottom w:val="none" w:sz="0" w:space="0" w:color="auto"/>
        <w:right w:val="none" w:sz="0" w:space="0" w:color="auto"/>
      </w:divBdr>
      <w:divsChild>
        <w:div w:id="396784316">
          <w:marLeft w:val="0"/>
          <w:marRight w:val="0"/>
          <w:marTop w:val="0"/>
          <w:marBottom w:val="0"/>
          <w:divBdr>
            <w:top w:val="none" w:sz="0" w:space="0" w:color="auto"/>
            <w:left w:val="none" w:sz="0" w:space="0" w:color="auto"/>
            <w:bottom w:val="none" w:sz="0" w:space="0" w:color="auto"/>
            <w:right w:val="none" w:sz="0" w:space="0" w:color="auto"/>
          </w:divBdr>
          <w:divsChild>
            <w:div w:id="1768963243">
              <w:marLeft w:val="0"/>
              <w:marRight w:val="0"/>
              <w:marTop w:val="0"/>
              <w:marBottom w:val="0"/>
              <w:divBdr>
                <w:top w:val="none" w:sz="0" w:space="0" w:color="auto"/>
                <w:left w:val="none" w:sz="0" w:space="0" w:color="auto"/>
                <w:bottom w:val="none" w:sz="0" w:space="0" w:color="auto"/>
                <w:right w:val="none" w:sz="0" w:space="0" w:color="auto"/>
              </w:divBdr>
              <w:divsChild>
                <w:div w:id="1042365483">
                  <w:marLeft w:val="0"/>
                  <w:marRight w:val="0"/>
                  <w:marTop w:val="0"/>
                  <w:marBottom w:val="0"/>
                  <w:divBdr>
                    <w:top w:val="none" w:sz="0" w:space="0" w:color="auto"/>
                    <w:left w:val="none" w:sz="0" w:space="0" w:color="auto"/>
                    <w:bottom w:val="none" w:sz="0" w:space="0" w:color="auto"/>
                    <w:right w:val="none" w:sz="0" w:space="0" w:color="auto"/>
                  </w:divBdr>
                  <w:divsChild>
                    <w:div w:id="514616176">
                      <w:marLeft w:val="0"/>
                      <w:marRight w:val="0"/>
                      <w:marTop w:val="0"/>
                      <w:marBottom w:val="0"/>
                      <w:divBdr>
                        <w:top w:val="none" w:sz="0" w:space="0" w:color="auto"/>
                        <w:left w:val="none" w:sz="0" w:space="0" w:color="auto"/>
                        <w:bottom w:val="none" w:sz="0" w:space="0" w:color="auto"/>
                        <w:right w:val="none" w:sz="0" w:space="0" w:color="auto"/>
                      </w:divBdr>
                      <w:divsChild>
                        <w:div w:id="443498374">
                          <w:marLeft w:val="0"/>
                          <w:marRight w:val="0"/>
                          <w:marTop w:val="0"/>
                          <w:marBottom w:val="0"/>
                          <w:divBdr>
                            <w:top w:val="none" w:sz="0" w:space="0" w:color="auto"/>
                            <w:left w:val="none" w:sz="0" w:space="0" w:color="auto"/>
                            <w:bottom w:val="none" w:sz="0" w:space="0" w:color="auto"/>
                            <w:right w:val="none" w:sz="0" w:space="0" w:color="auto"/>
                          </w:divBdr>
                          <w:divsChild>
                            <w:div w:id="207828613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23777">
      <w:bodyDiv w:val="1"/>
      <w:marLeft w:val="0"/>
      <w:marRight w:val="0"/>
      <w:marTop w:val="0"/>
      <w:marBottom w:val="0"/>
      <w:divBdr>
        <w:top w:val="none" w:sz="0" w:space="0" w:color="auto"/>
        <w:left w:val="none" w:sz="0" w:space="0" w:color="auto"/>
        <w:bottom w:val="none" w:sz="0" w:space="0" w:color="auto"/>
        <w:right w:val="none" w:sz="0" w:space="0" w:color="auto"/>
      </w:divBdr>
      <w:divsChild>
        <w:div w:id="1222254425">
          <w:marLeft w:val="0"/>
          <w:marRight w:val="0"/>
          <w:marTop w:val="0"/>
          <w:marBottom w:val="0"/>
          <w:divBdr>
            <w:top w:val="none" w:sz="0" w:space="0" w:color="auto"/>
            <w:left w:val="none" w:sz="0" w:space="0" w:color="auto"/>
            <w:bottom w:val="none" w:sz="0" w:space="0" w:color="auto"/>
            <w:right w:val="none" w:sz="0" w:space="0" w:color="auto"/>
          </w:divBdr>
          <w:divsChild>
            <w:div w:id="199630865">
              <w:marLeft w:val="0"/>
              <w:marRight w:val="0"/>
              <w:marTop w:val="0"/>
              <w:marBottom w:val="0"/>
              <w:divBdr>
                <w:top w:val="none" w:sz="0" w:space="0" w:color="auto"/>
                <w:left w:val="none" w:sz="0" w:space="0" w:color="auto"/>
                <w:bottom w:val="none" w:sz="0" w:space="0" w:color="auto"/>
                <w:right w:val="none" w:sz="0" w:space="0" w:color="auto"/>
              </w:divBdr>
              <w:divsChild>
                <w:div w:id="189807193">
                  <w:marLeft w:val="0"/>
                  <w:marRight w:val="0"/>
                  <w:marTop w:val="0"/>
                  <w:marBottom w:val="0"/>
                  <w:divBdr>
                    <w:top w:val="none" w:sz="0" w:space="0" w:color="auto"/>
                    <w:left w:val="none" w:sz="0" w:space="0" w:color="auto"/>
                    <w:bottom w:val="none" w:sz="0" w:space="0" w:color="auto"/>
                    <w:right w:val="none" w:sz="0" w:space="0" w:color="auto"/>
                  </w:divBdr>
                  <w:divsChild>
                    <w:div w:id="2048527514">
                      <w:marLeft w:val="0"/>
                      <w:marRight w:val="0"/>
                      <w:marTop w:val="0"/>
                      <w:marBottom w:val="0"/>
                      <w:divBdr>
                        <w:top w:val="none" w:sz="0" w:space="0" w:color="auto"/>
                        <w:left w:val="none" w:sz="0" w:space="0" w:color="auto"/>
                        <w:bottom w:val="none" w:sz="0" w:space="0" w:color="auto"/>
                        <w:right w:val="none" w:sz="0" w:space="0" w:color="auto"/>
                      </w:divBdr>
                      <w:divsChild>
                        <w:div w:id="1475368108">
                          <w:marLeft w:val="0"/>
                          <w:marRight w:val="0"/>
                          <w:marTop w:val="0"/>
                          <w:marBottom w:val="0"/>
                          <w:divBdr>
                            <w:top w:val="none" w:sz="0" w:space="0" w:color="auto"/>
                            <w:left w:val="none" w:sz="0" w:space="0" w:color="auto"/>
                            <w:bottom w:val="none" w:sz="0" w:space="0" w:color="auto"/>
                            <w:right w:val="none" w:sz="0" w:space="0" w:color="auto"/>
                          </w:divBdr>
                          <w:divsChild>
                            <w:div w:id="1237013105">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94565">
      <w:bodyDiv w:val="1"/>
      <w:marLeft w:val="0"/>
      <w:marRight w:val="0"/>
      <w:marTop w:val="0"/>
      <w:marBottom w:val="0"/>
      <w:divBdr>
        <w:top w:val="none" w:sz="0" w:space="0" w:color="auto"/>
        <w:left w:val="none" w:sz="0" w:space="0" w:color="auto"/>
        <w:bottom w:val="none" w:sz="0" w:space="0" w:color="auto"/>
        <w:right w:val="none" w:sz="0" w:space="0" w:color="auto"/>
      </w:divBdr>
      <w:divsChild>
        <w:div w:id="1281063696">
          <w:marLeft w:val="0"/>
          <w:marRight w:val="0"/>
          <w:marTop w:val="0"/>
          <w:marBottom w:val="0"/>
          <w:divBdr>
            <w:top w:val="none" w:sz="0" w:space="0" w:color="auto"/>
            <w:left w:val="none" w:sz="0" w:space="0" w:color="auto"/>
            <w:bottom w:val="none" w:sz="0" w:space="0" w:color="auto"/>
            <w:right w:val="none" w:sz="0" w:space="0" w:color="auto"/>
          </w:divBdr>
          <w:divsChild>
            <w:div w:id="1842770086">
              <w:marLeft w:val="0"/>
              <w:marRight w:val="0"/>
              <w:marTop w:val="0"/>
              <w:marBottom w:val="0"/>
              <w:divBdr>
                <w:top w:val="none" w:sz="0" w:space="0" w:color="auto"/>
                <w:left w:val="none" w:sz="0" w:space="0" w:color="auto"/>
                <w:bottom w:val="none" w:sz="0" w:space="0" w:color="auto"/>
                <w:right w:val="none" w:sz="0" w:space="0" w:color="auto"/>
              </w:divBdr>
              <w:divsChild>
                <w:div w:id="1838420839">
                  <w:marLeft w:val="0"/>
                  <w:marRight w:val="0"/>
                  <w:marTop w:val="0"/>
                  <w:marBottom w:val="0"/>
                  <w:divBdr>
                    <w:top w:val="none" w:sz="0" w:space="0" w:color="auto"/>
                    <w:left w:val="none" w:sz="0" w:space="0" w:color="auto"/>
                    <w:bottom w:val="none" w:sz="0" w:space="0" w:color="auto"/>
                    <w:right w:val="none" w:sz="0" w:space="0" w:color="auto"/>
                  </w:divBdr>
                  <w:divsChild>
                    <w:div w:id="63529450">
                      <w:marLeft w:val="0"/>
                      <w:marRight w:val="0"/>
                      <w:marTop w:val="0"/>
                      <w:marBottom w:val="0"/>
                      <w:divBdr>
                        <w:top w:val="none" w:sz="0" w:space="0" w:color="auto"/>
                        <w:left w:val="none" w:sz="0" w:space="0" w:color="auto"/>
                        <w:bottom w:val="none" w:sz="0" w:space="0" w:color="auto"/>
                        <w:right w:val="none" w:sz="0" w:space="0" w:color="auto"/>
                      </w:divBdr>
                      <w:divsChild>
                        <w:div w:id="1127432103">
                          <w:marLeft w:val="0"/>
                          <w:marRight w:val="0"/>
                          <w:marTop w:val="0"/>
                          <w:marBottom w:val="0"/>
                          <w:divBdr>
                            <w:top w:val="none" w:sz="0" w:space="0" w:color="auto"/>
                            <w:left w:val="none" w:sz="0" w:space="0" w:color="auto"/>
                            <w:bottom w:val="none" w:sz="0" w:space="0" w:color="auto"/>
                            <w:right w:val="none" w:sz="0" w:space="0" w:color="auto"/>
                          </w:divBdr>
                          <w:divsChild>
                            <w:div w:id="24380647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31061">
      <w:bodyDiv w:val="1"/>
      <w:marLeft w:val="0"/>
      <w:marRight w:val="0"/>
      <w:marTop w:val="0"/>
      <w:marBottom w:val="0"/>
      <w:divBdr>
        <w:top w:val="none" w:sz="0" w:space="0" w:color="auto"/>
        <w:left w:val="none" w:sz="0" w:space="0" w:color="auto"/>
        <w:bottom w:val="none" w:sz="0" w:space="0" w:color="auto"/>
        <w:right w:val="none" w:sz="0" w:space="0" w:color="auto"/>
      </w:divBdr>
    </w:div>
    <w:div w:id="1127166442">
      <w:bodyDiv w:val="1"/>
      <w:marLeft w:val="0"/>
      <w:marRight w:val="0"/>
      <w:marTop w:val="0"/>
      <w:marBottom w:val="0"/>
      <w:divBdr>
        <w:top w:val="none" w:sz="0" w:space="0" w:color="auto"/>
        <w:left w:val="none" w:sz="0" w:space="0" w:color="auto"/>
        <w:bottom w:val="none" w:sz="0" w:space="0" w:color="auto"/>
        <w:right w:val="none" w:sz="0" w:space="0" w:color="auto"/>
      </w:divBdr>
    </w:div>
    <w:div w:id="1527132307">
      <w:bodyDiv w:val="1"/>
      <w:marLeft w:val="0"/>
      <w:marRight w:val="0"/>
      <w:marTop w:val="0"/>
      <w:marBottom w:val="0"/>
      <w:divBdr>
        <w:top w:val="none" w:sz="0" w:space="0" w:color="auto"/>
        <w:left w:val="none" w:sz="0" w:space="0" w:color="auto"/>
        <w:bottom w:val="none" w:sz="0" w:space="0" w:color="auto"/>
        <w:right w:val="none" w:sz="0" w:space="0" w:color="auto"/>
      </w:divBdr>
      <w:divsChild>
        <w:div w:id="1593589263">
          <w:marLeft w:val="0"/>
          <w:marRight w:val="0"/>
          <w:marTop w:val="0"/>
          <w:marBottom w:val="0"/>
          <w:divBdr>
            <w:top w:val="none" w:sz="0" w:space="0" w:color="auto"/>
            <w:left w:val="none" w:sz="0" w:space="0" w:color="auto"/>
            <w:bottom w:val="none" w:sz="0" w:space="0" w:color="auto"/>
            <w:right w:val="none" w:sz="0" w:space="0" w:color="auto"/>
          </w:divBdr>
          <w:divsChild>
            <w:div w:id="1422795417">
              <w:marLeft w:val="0"/>
              <w:marRight w:val="0"/>
              <w:marTop w:val="0"/>
              <w:marBottom w:val="0"/>
              <w:divBdr>
                <w:top w:val="none" w:sz="0" w:space="0" w:color="auto"/>
                <w:left w:val="none" w:sz="0" w:space="0" w:color="auto"/>
                <w:bottom w:val="none" w:sz="0" w:space="0" w:color="auto"/>
                <w:right w:val="none" w:sz="0" w:space="0" w:color="auto"/>
              </w:divBdr>
              <w:divsChild>
                <w:div w:id="1844854904">
                  <w:marLeft w:val="0"/>
                  <w:marRight w:val="0"/>
                  <w:marTop w:val="0"/>
                  <w:marBottom w:val="0"/>
                  <w:divBdr>
                    <w:top w:val="none" w:sz="0" w:space="0" w:color="auto"/>
                    <w:left w:val="none" w:sz="0" w:space="0" w:color="auto"/>
                    <w:bottom w:val="none" w:sz="0" w:space="0" w:color="auto"/>
                    <w:right w:val="none" w:sz="0" w:space="0" w:color="auto"/>
                  </w:divBdr>
                  <w:divsChild>
                    <w:div w:id="627274650">
                      <w:marLeft w:val="0"/>
                      <w:marRight w:val="0"/>
                      <w:marTop w:val="0"/>
                      <w:marBottom w:val="0"/>
                      <w:divBdr>
                        <w:top w:val="none" w:sz="0" w:space="0" w:color="auto"/>
                        <w:left w:val="none" w:sz="0" w:space="0" w:color="auto"/>
                        <w:bottom w:val="none" w:sz="0" w:space="0" w:color="auto"/>
                        <w:right w:val="none" w:sz="0" w:space="0" w:color="auto"/>
                      </w:divBdr>
                      <w:divsChild>
                        <w:div w:id="1621565757">
                          <w:marLeft w:val="0"/>
                          <w:marRight w:val="0"/>
                          <w:marTop w:val="0"/>
                          <w:marBottom w:val="0"/>
                          <w:divBdr>
                            <w:top w:val="none" w:sz="0" w:space="0" w:color="auto"/>
                            <w:left w:val="none" w:sz="0" w:space="0" w:color="auto"/>
                            <w:bottom w:val="none" w:sz="0" w:space="0" w:color="auto"/>
                            <w:right w:val="none" w:sz="0" w:space="0" w:color="auto"/>
                          </w:divBdr>
                        </w:div>
                      </w:divsChild>
                    </w:div>
                    <w:div w:id="703671235">
                      <w:marLeft w:val="0"/>
                      <w:marRight w:val="0"/>
                      <w:marTop w:val="0"/>
                      <w:marBottom w:val="0"/>
                      <w:divBdr>
                        <w:top w:val="none" w:sz="0" w:space="0" w:color="auto"/>
                        <w:left w:val="none" w:sz="0" w:space="0" w:color="auto"/>
                        <w:bottom w:val="none" w:sz="0" w:space="0" w:color="auto"/>
                        <w:right w:val="none" w:sz="0" w:space="0" w:color="auto"/>
                      </w:divBdr>
                      <w:divsChild>
                        <w:div w:id="1798255474">
                          <w:marLeft w:val="0"/>
                          <w:marRight w:val="0"/>
                          <w:marTop w:val="0"/>
                          <w:marBottom w:val="0"/>
                          <w:divBdr>
                            <w:top w:val="none" w:sz="0" w:space="0" w:color="auto"/>
                            <w:left w:val="none" w:sz="0" w:space="0" w:color="auto"/>
                            <w:bottom w:val="none" w:sz="0" w:space="0" w:color="auto"/>
                            <w:right w:val="none" w:sz="0" w:space="0" w:color="auto"/>
                          </w:divBdr>
                          <w:divsChild>
                            <w:div w:id="1223977808">
                              <w:marLeft w:val="0"/>
                              <w:marRight w:val="0"/>
                              <w:marTop w:val="225"/>
                              <w:marBottom w:val="0"/>
                              <w:divBdr>
                                <w:top w:val="none" w:sz="0" w:space="0" w:color="auto"/>
                                <w:left w:val="none" w:sz="0" w:space="0" w:color="auto"/>
                                <w:bottom w:val="none" w:sz="0" w:space="0" w:color="auto"/>
                                <w:right w:val="none" w:sz="0" w:space="0" w:color="auto"/>
                              </w:divBdr>
                            </w:div>
                            <w:div w:id="1091005217">
                              <w:marLeft w:val="0"/>
                              <w:marRight w:val="675"/>
                              <w:marTop w:val="0"/>
                              <w:marBottom w:val="0"/>
                              <w:divBdr>
                                <w:top w:val="none" w:sz="0" w:space="0" w:color="auto"/>
                                <w:left w:val="none" w:sz="0" w:space="0" w:color="auto"/>
                                <w:bottom w:val="none" w:sz="0" w:space="0" w:color="auto"/>
                                <w:right w:val="none" w:sz="0" w:space="0" w:color="auto"/>
                              </w:divBdr>
                              <w:divsChild>
                                <w:div w:id="329987905">
                                  <w:marLeft w:val="0"/>
                                  <w:marRight w:val="0"/>
                                  <w:marTop w:val="300"/>
                                  <w:marBottom w:val="150"/>
                                  <w:divBdr>
                                    <w:top w:val="none" w:sz="0" w:space="0" w:color="auto"/>
                                    <w:left w:val="none" w:sz="0" w:space="0" w:color="auto"/>
                                    <w:bottom w:val="dotted" w:sz="6" w:space="0" w:color="D1D1D1"/>
                                    <w:right w:val="none" w:sz="0" w:space="0" w:color="auto"/>
                                  </w:divBdr>
                                  <w:divsChild>
                                    <w:div w:id="394861410">
                                      <w:marLeft w:val="0"/>
                                      <w:marRight w:val="0"/>
                                      <w:marTop w:val="0"/>
                                      <w:marBottom w:val="0"/>
                                      <w:divBdr>
                                        <w:top w:val="none" w:sz="0" w:space="0" w:color="auto"/>
                                        <w:left w:val="none" w:sz="0" w:space="0" w:color="auto"/>
                                        <w:bottom w:val="none" w:sz="0" w:space="0" w:color="auto"/>
                                        <w:right w:val="none" w:sz="0" w:space="0" w:color="auto"/>
                                      </w:divBdr>
                                      <w:divsChild>
                                        <w:div w:id="86076658">
                                          <w:marLeft w:val="0"/>
                                          <w:marRight w:val="0"/>
                                          <w:marTop w:val="0"/>
                                          <w:marBottom w:val="0"/>
                                          <w:divBdr>
                                            <w:top w:val="none" w:sz="0" w:space="0" w:color="auto"/>
                                            <w:left w:val="none" w:sz="0" w:space="0" w:color="auto"/>
                                            <w:bottom w:val="none" w:sz="0" w:space="0" w:color="auto"/>
                                            <w:right w:val="none" w:sz="0" w:space="0" w:color="auto"/>
                                          </w:divBdr>
                                        </w:div>
                                        <w:div w:id="5789070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414826">
      <w:bodyDiv w:val="1"/>
      <w:marLeft w:val="0"/>
      <w:marRight w:val="0"/>
      <w:marTop w:val="0"/>
      <w:marBottom w:val="0"/>
      <w:divBdr>
        <w:top w:val="none" w:sz="0" w:space="0" w:color="auto"/>
        <w:left w:val="none" w:sz="0" w:space="0" w:color="auto"/>
        <w:bottom w:val="none" w:sz="0" w:space="0" w:color="auto"/>
        <w:right w:val="none" w:sz="0" w:space="0" w:color="auto"/>
      </w:divBdr>
    </w:div>
    <w:div w:id="1696346520">
      <w:bodyDiv w:val="1"/>
      <w:marLeft w:val="0"/>
      <w:marRight w:val="0"/>
      <w:marTop w:val="0"/>
      <w:marBottom w:val="0"/>
      <w:divBdr>
        <w:top w:val="none" w:sz="0" w:space="0" w:color="auto"/>
        <w:left w:val="none" w:sz="0" w:space="0" w:color="auto"/>
        <w:bottom w:val="none" w:sz="0" w:space="0" w:color="auto"/>
        <w:right w:val="none" w:sz="0" w:space="0" w:color="auto"/>
      </w:divBdr>
      <w:divsChild>
        <w:div w:id="1837106209">
          <w:marLeft w:val="0"/>
          <w:marRight w:val="0"/>
          <w:marTop w:val="0"/>
          <w:marBottom w:val="0"/>
          <w:divBdr>
            <w:top w:val="none" w:sz="0" w:space="0" w:color="auto"/>
            <w:left w:val="none" w:sz="0" w:space="0" w:color="auto"/>
            <w:bottom w:val="none" w:sz="0" w:space="0" w:color="auto"/>
            <w:right w:val="none" w:sz="0" w:space="0" w:color="auto"/>
          </w:divBdr>
          <w:divsChild>
            <w:div w:id="691996315">
              <w:marLeft w:val="0"/>
              <w:marRight w:val="0"/>
              <w:marTop w:val="0"/>
              <w:marBottom w:val="0"/>
              <w:divBdr>
                <w:top w:val="none" w:sz="0" w:space="0" w:color="auto"/>
                <w:left w:val="none" w:sz="0" w:space="0" w:color="auto"/>
                <w:bottom w:val="none" w:sz="0" w:space="0" w:color="auto"/>
                <w:right w:val="none" w:sz="0" w:space="0" w:color="auto"/>
              </w:divBdr>
              <w:divsChild>
                <w:div w:id="1385829011">
                  <w:marLeft w:val="0"/>
                  <w:marRight w:val="0"/>
                  <w:marTop w:val="0"/>
                  <w:marBottom w:val="0"/>
                  <w:divBdr>
                    <w:top w:val="none" w:sz="0" w:space="0" w:color="auto"/>
                    <w:left w:val="none" w:sz="0" w:space="0" w:color="auto"/>
                    <w:bottom w:val="none" w:sz="0" w:space="0" w:color="auto"/>
                    <w:right w:val="none" w:sz="0" w:space="0" w:color="auto"/>
                  </w:divBdr>
                  <w:divsChild>
                    <w:div w:id="1199048213">
                      <w:marLeft w:val="0"/>
                      <w:marRight w:val="0"/>
                      <w:marTop w:val="0"/>
                      <w:marBottom w:val="0"/>
                      <w:divBdr>
                        <w:top w:val="none" w:sz="0" w:space="0" w:color="auto"/>
                        <w:left w:val="none" w:sz="0" w:space="0" w:color="auto"/>
                        <w:bottom w:val="none" w:sz="0" w:space="0" w:color="auto"/>
                        <w:right w:val="none" w:sz="0" w:space="0" w:color="auto"/>
                      </w:divBdr>
                      <w:divsChild>
                        <w:div w:id="1299340833">
                          <w:marLeft w:val="0"/>
                          <w:marRight w:val="0"/>
                          <w:marTop w:val="0"/>
                          <w:marBottom w:val="0"/>
                          <w:divBdr>
                            <w:top w:val="none" w:sz="0" w:space="0" w:color="auto"/>
                            <w:left w:val="none" w:sz="0" w:space="0" w:color="auto"/>
                            <w:bottom w:val="none" w:sz="0" w:space="0" w:color="auto"/>
                            <w:right w:val="none" w:sz="0" w:space="0" w:color="auto"/>
                          </w:divBdr>
                          <w:divsChild>
                            <w:div w:id="8725734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5516">
      <w:bodyDiv w:val="1"/>
      <w:marLeft w:val="0"/>
      <w:marRight w:val="0"/>
      <w:marTop w:val="0"/>
      <w:marBottom w:val="0"/>
      <w:divBdr>
        <w:top w:val="none" w:sz="0" w:space="0" w:color="auto"/>
        <w:left w:val="none" w:sz="0" w:space="0" w:color="auto"/>
        <w:bottom w:val="none" w:sz="0" w:space="0" w:color="auto"/>
        <w:right w:val="none" w:sz="0" w:space="0" w:color="auto"/>
      </w:divBdr>
    </w:div>
    <w:div w:id="1745491694">
      <w:bodyDiv w:val="1"/>
      <w:marLeft w:val="0"/>
      <w:marRight w:val="0"/>
      <w:marTop w:val="0"/>
      <w:marBottom w:val="0"/>
      <w:divBdr>
        <w:top w:val="none" w:sz="0" w:space="0" w:color="auto"/>
        <w:left w:val="none" w:sz="0" w:space="0" w:color="auto"/>
        <w:bottom w:val="none" w:sz="0" w:space="0" w:color="auto"/>
        <w:right w:val="none" w:sz="0" w:space="0" w:color="auto"/>
      </w:divBdr>
      <w:divsChild>
        <w:div w:id="277225674">
          <w:marLeft w:val="0"/>
          <w:marRight w:val="0"/>
          <w:marTop w:val="0"/>
          <w:marBottom w:val="0"/>
          <w:divBdr>
            <w:top w:val="none" w:sz="0" w:space="0" w:color="auto"/>
            <w:left w:val="none" w:sz="0" w:space="0" w:color="auto"/>
            <w:bottom w:val="none" w:sz="0" w:space="0" w:color="auto"/>
            <w:right w:val="none" w:sz="0" w:space="0" w:color="auto"/>
          </w:divBdr>
          <w:divsChild>
            <w:div w:id="608007153">
              <w:marLeft w:val="0"/>
              <w:marRight w:val="0"/>
              <w:marTop w:val="0"/>
              <w:marBottom w:val="0"/>
              <w:divBdr>
                <w:top w:val="none" w:sz="0" w:space="0" w:color="auto"/>
                <w:left w:val="none" w:sz="0" w:space="0" w:color="auto"/>
                <w:bottom w:val="none" w:sz="0" w:space="0" w:color="auto"/>
                <w:right w:val="none" w:sz="0" w:space="0" w:color="auto"/>
              </w:divBdr>
              <w:divsChild>
                <w:div w:id="2016421635">
                  <w:marLeft w:val="0"/>
                  <w:marRight w:val="0"/>
                  <w:marTop w:val="0"/>
                  <w:marBottom w:val="0"/>
                  <w:divBdr>
                    <w:top w:val="none" w:sz="0" w:space="0" w:color="auto"/>
                    <w:left w:val="none" w:sz="0" w:space="0" w:color="auto"/>
                    <w:bottom w:val="none" w:sz="0" w:space="0" w:color="auto"/>
                    <w:right w:val="none" w:sz="0" w:space="0" w:color="auto"/>
                  </w:divBdr>
                  <w:divsChild>
                    <w:div w:id="1835104091">
                      <w:marLeft w:val="0"/>
                      <w:marRight w:val="0"/>
                      <w:marTop w:val="0"/>
                      <w:marBottom w:val="0"/>
                      <w:divBdr>
                        <w:top w:val="none" w:sz="0" w:space="0" w:color="auto"/>
                        <w:left w:val="none" w:sz="0" w:space="0" w:color="auto"/>
                        <w:bottom w:val="none" w:sz="0" w:space="0" w:color="auto"/>
                        <w:right w:val="none" w:sz="0" w:space="0" w:color="auto"/>
                      </w:divBdr>
                      <w:divsChild>
                        <w:div w:id="1465276185">
                          <w:marLeft w:val="0"/>
                          <w:marRight w:val="0"/>
                          <w:marTop w:val="0"/>
                          <w:marBottom w:val="0"/>
                          <w:divBdr>
                            <w:top w:val="none" w:sz="0" w:space="0" w:color="auto"/>
                            <w:left w:val="none" w:sz="0" w:space="0" w:color="auto"/>
                            <w:bottom w:val="none" w:sz="0" w:space="0" w:color="auto"/>
                            <w:right w:val="none" w:sz="0" w:space="0" w:color="auto"/>
                          </w:divBdr>
                          <w:divsChild>
                            <w:div w:id="63645183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6327">
      <w:bodyDiv w:val="1"/>
      <w:marLeft w:val="0"/>
      <w:marRight w:val="0"/>
      <w:marTop w:val="0"/>
      <w:marBottom w:val="0"/>
      <w:divBdr>
        <w:top w:val="none" w:sz="0" w:space="0" w:color="auto"/>
        <w:left w:val="none" w:sz="0" w:space="0" w:color="auto"/>
        <w:bottom w:val="none" w:sz="0" w:space="0" w:color="auto"/>
        <w:right w:val="none" w:sz="0" w:space="0" w:color="auto"/>
      </w:divBdr>
      <w:divsChild>
        <w:div w:id="2139256977">
          <w:marLeft w:val="0"/>
          <w:marRight w:val="0"/>
          <w:marTop w:val="0"/>
          <w:marBottom w:val="0"/>
          <w:divBdr>
            <w:top w:val="none" w:sz="0" w:space="0" w:color="auto"/>
            <w:left w:val="none" w:sz="0" w:space="0" w:color="auto"/>
            <w:bottom w:val="none" w:sz="0" w:space="0" w:color="auto"/>
            <w:right w:val="none" w:sz="0" w:space="0" w:color="auto"/>
          </w:divBdr>
          <w:divsChild>
            <w:div w:id="1761482930">
              <w:marLeft w:val="0"/>
              <w:marRight w:val="0"/>
              <w:marTop w:val="0"/>
              <w:marBottom w:val="0"/>
              <w:divBdr>
                <w:top w:val="none" w:sz="0" w:space="0" w:color="auto"/>
                <w:left w:val="none" w:sz="0" w:space="0" w:color="auto"/>
                <w:bottom w:val="none" w:sz="0" w:space="0" w:color="auto"/>
                <w:right w:val="none" w:sz="0" w:space="0" w:color="auto"/>
              </w:divBdr>
              <w:divsChild>
                <w:div w:id="1270434424">
                  <w:marLeft w:val="0"/>
                  <w:marRight w:val="0"/>
                  <w:marTop w:val="0"/>
                  <w:marBottom w:val="0"/>
                  <w:divBdr>
                    <w:top w:val="none" w:sz="0" w:space="0" w:color="auto"/>
                    <w:left w:val="none" w:sz="0" w:space="0" w:color="auto"/>
                    <w:bottom w:val="none" w:sz="0" w:space="0" w:color="auto"/>
                    <w:right w:val="none" w:sz="0" w:space="0" w:color="auto"/>
                  </w:divBdr>
                  <w:divsChild>
                    <w:div w:id="1175923637">
                      <w:marLeft w:val="0"/>
                      <w:marRight w:val="0"/>
                      <w:marTop w:val="0"/>
                      <w:marBottom w:val="0"/>
                      <w:divBdr>
                        <w:top w:val="none" w:sz="0" w:space="0" w:color="auto"/>
                        <w:left w:val="none" w:sz="0" w:space="0" w:color="auto"/>
                        <w:bottom w:val="none" w:sz="0" w:space="0" w:color="auto"/>
                        <w:right w:val="none" w:sz="0" w:space="0" w:color="auto"/>
                      </w:divBdr>
                      <w:divsChild>
                        <w:div w:id="1804154859">
                          <w:marLeft w:val="0"/>
                          <w:marRight w:val="0"/>
                          <w:marTop w:val="0"/>
                          <w:marBottom w:val="0"/>
                          <w:divBdr>
                            <w:top w:val="none" w:sz="0" w:space="0" w:color="auto"/>
                            <w:left w:val="none" w:sz="0" w:space="0" w:color="auto"/>
                            <w:bottom w:val="none" w:sz="0" w:space="0" w:color="auto"/>
                            <w:right w:val="none" w:sz="0" w:space="0" w:color="auto"/>
                          </w:divBdr>
                          <w:divsChild>
                            <w:div w:id="96790228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3887">
      <w:bodyDiv w:val="1"/>
      <w:marLeft w:val="0"/>
      <w:marRight w:val="0"/>
      <w:marTop w:val="0"/>
      <w:marBottom w:val="0"/>
      <w:divBdr>
        <w:top w:val="none" w:sz="0" w:space="0" w:color="auto"/>
        <w:left w:val="none" w:sz="0" w:space="0" w:color="auto"/>
        <w:bottom w:val="none" w:sz="0" w:space="0" w:color="auto"/>
        <w:right w:val="none" w:sz="0" w:space="0" w:color="auto"/>
      </w:divBdr>
      <w:divsChild>
        <w:div w:id="433983552">
          <w:marLeft w:val="0"/>
          <w:marRight w:val="0"/>
          <w:marTop w:val="0"/>
          <w:marBottom w:val="0"/>
          <w:divBdr>
            <w:top w:val="none" w:sz="0" w:space="0" w:color="auto"/>
            <w:left w:val="none" w:sz="0" w:space="0" w:color="auto"/>
            <w:bottom w:val="none" w:sz="0" w:space="0" w:color="auto"/>
            <w:right w:val="none" w:sz="0" w:space="0" w:color="auto"/>
          </w:divBdr>
          <w:divsChild>
            <w:div w:id="1918901647">
              <w:marLeft w:val="0"/>
              <w:marRight w:val="0"/>
              <w:marTop w:val="0"/>
              <w:marBottom w:val="0"/>
              <w:divBdr>
                <w:top w:val="none" w:sz="0" w:space="0" w:color="auto"/>
                <w:left w:val="none" w:sz="0" w:space="0" w:color="auto"/>
                <w:bottom w:val="none" w:sz="0" w:space="0" w:color="auto"/>
                <w:right w:val="none" w:sz="0" w:space="0" w:color="auto"/>
              </w:divBdr>
              <w:divsChild>
                <w:div w:id="196043896">
                  <w:marLeft w:val="0"/>
                  <w:marRight w:val="0"/>
                  <w:marTop w:val="0"/>
                  <w:marBottom w:val="0"/>
                  <w:divBdr>
                    <w:top w:val="none" w:sz="0" w:space="0" w:color="auto"/>
                    <w:left w:val="none" w:sz="0" w:space="0" w:color="auto"/>
                    <w:bottom w:val="none" w:sz="0" w:space="0" w:color="auto"/>
                    <w:right w:val="none" w:sz="0" w:space="0" w:color="auto"/>
                  </w:divBdr>
                  <w:divsChild>
                    <w:div w:id="1176577440">
                      <w:marLeft w:val="0"/>
                      <w:marRight w:val="0"/>
                      <w:marTop w:val="0"/>
                      <w:marBottom w:val="0"/>
                      <w:divBdr>
                        <w:top w:val="none" w:sz="0" w:space="0" w:color="auto"/>
                        <w:left w:val="none" w:sz="0" w:space="0" w:color="auto"/>
                        <w:bottom w:val="none" w:sz="0" w:space="0" w:color="auto"/>
                        <w:right w:val="none" w:sz="0" w:space="0" w:color="auto"/>
                      </w:divBdr>
                      <w:divsChild>
                        <w:div w:id="253709372">
                          <w:marLeft w:val="0"/>
                          <w:marRight w:val="0"/>
                          <w:marTop w:val="0"/>
                          <w:marBottom w:val="0"/>
                          <w:divBdr>
                            <w:top w:val="none" w:sz="0" w:space="0" w:color="auto"/>
                            <w:left w:val="none" w:sz="0" w:space="0" w:color="auto"/>
                            <w:bottom w:val="none" w:sz="0" w:space="0" w:color="auto"/>
                            <w:right w:val="none" w:sz="0" w:space="0" w:color="auto"/>
                          </w:divBdr>
                          <w:divsChild>
                            <w:div w:id="202578617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534450">
      <w:bodyDiv w:val="1"/>
      <w:marLeft w:val="0"/>
      <w:marRight w:val="0"/>
      <w:marTop w:val="0"/>
      <w:marBottom w:val="0"/>
      <w:divBdr>
        <w:top w:val="none" w:sz="0" w:space="0" w:color="auto"/>
        <w:left w:val="none" w:sz="0" w:space="0" w:color="auto"/>
        <w:bottom w:val="none" w:sz="0" w:space="0" w:color="auto"/>
        <w:right w:val="none" w:sz="0" w:space="0" w:color="auto"/>
      </w:divBdr>
      <w:divsChild>
        <w:div w:id="916937591">
          <w:marLeft w:val="0"/>
          <w:marRight w:val="0"/>
          <w:marTop w:val="0"/>
          <w:marBottom w:val="0"/>
          <w:divBdr>
            <w:top w:val="none" w:sz="0" w:space="0" w:color="auto"/>
            <w:left w:val="none" w:sz="0" w:space="0" w:color="auto"/>
            <w:bottom w:val="none" w:sz="0" w:space="0" w:color="auto"/>
            <w:right w:val="none" w:sz="0" w:space="0" w:color="auto"/>
          </w:divBdr>
          <w:divsChild>
            <w:div w:id="852955105">
              <w:marLeft w:val="0"/>
              <w:marRight w:val="0"/>
              <w:marTop w:val="0"/>
              <w:marBottom w:val="0"/>
              <w:divBdr>
                <w:top w:val="none" w:sz="0" w:space="0" w:color="auto"/>
                <w:left w:val="none" w:sz="0" w:space="0" w:color="auto"/>
                <w:bottom w:val="none" w:sz="0" w:space="0" w:color="auto"/>
                <w:right w:val="none" w:sz="0" w:space="0" w:color="auto"/>
              </w:divBdr>
              <w:divsChild>
                <w:div w:id="1392385337">
                  <w:marLeft w:val="0"/>
                  <w:marRight w:val="0"/>
                  <w:marTop w:val="0"/>
                  <w:marBottom w:val="0"/>
                  <w:divBdr>
                    <w:top w:val="none" w:sz="0" w:space="0" w:color="auto"/>
                    <w:left w:val="none" w:sz="0" w:space="0" w:color="auto"/>
                    <w:bottom w:val="none" w:sz="0" w:space="0" w:color="auto"/>
                    <w:right w:val="none" w:sz="0" w:space="0" w:color="auto"/>
                  </w:divBdr>
                  <w:divsChild>
                    <w:div w:id="1460807571">
                      <w:marLeft w:val="0"/>
                      <w:marRight w:val="0"/>
                      <w:marTop w:val="0"/>
                      <w:marBottom w:val="0"/>
                      <w:divBdr>
                        <w:top w:val="none" w:sz="0" w:space="0" w:color="auto"/>
                        <w:left w:val="none" w:sz="0" w:space="0" w:color="auto"/>
                        <w:bottom w:val="none" w:sz="0" w:space="0" w:color="auto"/>
                        <w:right w:val="none" w:sz="0" w:space="0" w:color="auto"/>
                      </w:divBdr>
                      <w:divsChild>
                        <w:div w:id="323047332">
                          <w:marLeft w:val="0"/>
                          <w:marRight w:val="0"/>
                          <w:marTop w:val="0"/>
                          <w:marBottom w:val="0"/>
                          <w:divBdr>
                            <w:top w:val="none" w:sz="0" w:space="0" w:color="auto"/>
                            <w:left w:val="none" w:sz="0" w:space="0" w:color="auto"/>
                            <w:bottom w:val="none" w:sz="0" w:space="0" w:color="auto"/>
                            <w:right w:val="none" w:sz="0" w:space="0" w:color="auto"/>
                          </w:divBdr>
                          <w:divsChild>
                            <w:div w:id="45417392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03919">
      <w:bodyDiv w:val="1"/>
      <w:marLeft w:val="0"/>
      <w:marRight w:val="0"/>
      <w:marTop w:val="0"/>
      <w:marBottom w:val="0"/>
      <w:divBdr>
        <w:top w:val="none" w:sz="0" w:space="0" w:color="auto"/>
        <w:left w:val="none" w:sz="0" w:space="0" w:color="auto"/>
        <w:bottom w:val="none" w:sz="0" w:space="0" w:color="auto"/>
        <w:right w:val="none" w:sz="0" w:space="0" w:color="auto"/>
      </w:divBdr>
      <w:divsChild>
        <w:div w:id="884683326">
          <w:marLeft w:val="0"/>
          <w:marRight w:val="0"/>
          <w:marTop w:val="0"/>
          <w:marBottom w:val="0"/>
          <w:divBdr>
            <w:top w:val="none" w:sz="0" w:space="0" w:color="auto"/>
            <w:left w:val="none" w:sz="0" w:space="0" w:color="auto"/>
            <w:bottom w:val="none" w:sz="0" w:space="0" w:color="auto"/>
            <w:right w:val="none" w:sz="0" w:space="0" w:color="auto"/>
          </w:divBdr>
          <w:divsChild>
            <w:div w:id="1057704840">
              <w:marLeft w:val="0"/>
              <w:marRight w:val="0"/>
              <w:marTop w:val="0"/>
              <w:marBottom w:val="0"/>
              <w:divBdr>
                <w:top w:val="none" w:sz="0" w:space="0" w:color="auto"/>
                <w:left w:val="none" w:sz="0" w:space="0" w:color="auto"/>
                <w:bottom w:val="none" w:sz="0" w:space="0" w:color="auto"/>
                <w:right w:val="none" w:sz="0" w:space="0" w:color="auto"/>
              </w:divBdr>
              <w:divsChild>
                <w:div w:id="2015842251">
                  <w:marLeft w:val="0"/>
                  <w:marRight w:val="0"/>
                  <w:marTop w:val="0"/>
                  <w:marBottom w:val="0"/>
                  <w:divBdr>
                    <w:top w:val="none" w:sz="0" w:space="0" w:color="auto"/>
                    <w:left w:val="none" w:sz="0" w:space="0" w:color="auto"/>
                    <w:bottom w:val="none" w:sz="0" w:space="0" w:color="auto"/>
                    <w:right w:val="none" w:sz="0" w:space="0" w:color="auto"/>
                  </w:divBdr>
                  <w:divsChild>
                    <w:div w:id="1097210745">
                      <w:marLeft w:val="0"/>
                      <w:marRight w:val="0"/>
                      <w:marTop w:val="0"/>
                      <w:marBottom w:val="0"/>
                      <w:divBdr>
                        <w:top w:val="none" w:sz="0" w:space="0" w:color="auto"/>
                        <w:left w:val="none" w:sz="0" w:space="0" w:color="auto"/>
                        <w:bottom w:val="none" w:sz="0" w:space="0" w:color="auto"/>
                        <w:right w:val="none" w:sz="0" w:space="0" w:color="auto"/>
                      </w:divBdr>
                      <w:divsChild>
                        <w:div w:id="637763561">
                          <w:marLeft w:val="0"/>
                          <w:marRight w:val="0"/>
                          <w:marTop w:val="0"/>
                          <w:marBottom w:val="0"/>
                          <w:divBdr>
                            <w:top w:val="none" w:sz="0" w:space="0" w:color="auto"/>
                            <w:left w:val="none" w:sz="0" w:space="0" w:color="auto"/>
                            <w:bottom w:val="none" w:sz="0" w:space="0" w:color="auto"/>
                            <w:right w:val="none" w:sz="0" w:space="0" w:color="auto"/>
                          </w:divBdr>
                          <w:divsChild>
                            <w:div w:id="195987019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 Osorio Carrasco</dc:creator>
  <cp:lastModifiedBy>Karina Castillo Iturriaga</cp:lastModifiedBy>
  <cp:revision>2</cp:revision>
  <cp:lastPrinted>2016-07-14T20:56:00Z</cp:lastPrinted>
  <dcterms:created xsi:type="dcterms:W3CDTF">2016-07-15T13:45:00Z</dcterms:created>
  <dcterms:modified xsi:type="dcterms:W3CDTF">2016-07-15T13:45:00Z</dcterms:modified>
</cp:coreProperties>
</file>