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43" w:rsidRDefault="00D72E43" w:rsidP="00D72E43">
      <w:pPr>
        <w:jc w:val="center"/>
        <w:rPr>
          <w:rFonts w:ascii="Calibri" w:hAnsi="Calibri"/>
          <w:color w:val="1F497D"/>
          <w:sz w:val="22"/>
          <w:szCs w:val="22"/>
          <w:lang w:val="es-CL"/>
        </w:rPr>
      </w:pPr>
      <w:r>
        <w:rPr>
          <w:rFonts w:ascii="Calibri" w:hAnsi="Calibri"/>
          <w:color w:val="1F497D"/>
          <w:sz w:val="22"/>
          <w:szCs w:val="22"/>
          <w:lang w:val="es-CL"/>
        </w:rPr>
        <w:t>MINUTA</w:t>
      </w:r>
      <w:r>
        <w:rPr>
          <w:rFonts w:ascii="Calibri" w:hAnsi="Calibri"/>
          <w:color w:val="1F497D"/>
          <w:sz w:val="22"/>
          <w:szCs w:val="22"/>
          <w:lang w:val="es-CL"/>
        </w:rPr>
        <w:br/>
        <w:t xml:space="preserve">RESPUESTAS A OBSERVACIONES DE ANAGENA SOBRE PROYECTO DE </w:t>
      </w:r>
    </w:p>
    <w:p w:rsidR="00D72E43" w:rsidRDefault="00D72E43" w:rsidP="00D72E43">
      <w:pPr>
        <w:jc w:val="center"/>
        <w:rPr>
          <w:rFonts w:ascii="Calibri" w:hAnsi="Calibri"/>
          <w:color w:val="1F497D"/>
          <w:sz w:val="22"/>
          <w:szCs w:val="22"/>
          <w:lang w:val="es-CL"/>
        </w:rPr>
      </w:pPr>
      <w:r>
        <w:rPr>
          <w:rFonts w:ascii="Calibri" w:hAnsi="Calibri"/>
          <w:color w:val="1F497D"/>
          <w:sz w:val="22"/>
          <w:szCs w:val="22"/>
          <w:lang w:val="es-CL"/>
        </w:rPr>
        <w:t>PROCEDIMIENTO PARA LA EMISIÓN DE RESOLUCIONES ANTICIPADAS</w:t>
      </w:r>
    </w:p>
    <w:p w:rsidR="00D72E43" w:rsidRDefault="00D72E43" w:rsidP="00D72E43">
      <w:pPr>
        <w:rPr>
          <w:rFonts w:ascii="Calibri" w:hAnsi="Calibri"/>
          <w:color w:val="1F497D"/>
          <w:sz w:val="22"/>
          <w:szCs w:val="22"/>
          <w:lang w:val="es-CL"/>
        </w:rPr>
      </w:pPr>
    </w:p>
    <w:p w:rsidR="00D72E43" w:rsidRDefault="00D72E43" w:rsidP="00D72E43">
      <w:pPr>
        <w:rPr>
          <w:rFonts w:ascii="Calibri" w:hAnsi="Calibri"/>
          <w:color w:val="1F497D"/>
          <w:sz w:val="22"/>
          <w:szCs w:val="22"/>
          <w:lang w:val="es-CL"/>
        </w:rPr>
      </w:pPr>
    </w:p>
    <w:p w:rsidR="00D72E43" w:rsidRPr="00D72E43" w:rsidRDefault="00D72E43" w:rsidP="00D72E43">
      <w:pPr>
        <w:ind w:left="1418" w:hanging="1418"/>
        <w:jc w:val="both"/>
        <w:rPr>
          <w:rFonts w:ascii="Calibri" w:hAnsi="Calibri"/>
          <w:color w:val="1F497D"/>
          <w:sz w:val="22"/>
          <w:szCs w:val="22"/>
          <w:lang w:val="es-CL"/>
        </w:rPr>
      </w:pPr>
      <w:r w:rsidRPr="00D72E43">
        <w:rPr>
          <w:rFonts w:ascii="Calibri" w:hAnsi="Calibri"/>
          <w:color w:val="1F497D"/>
          <w:sz w:val="22"/>
          <w:szCs w:val="22"/>
          <w:lang w:val="es-CL"/>
        </w:rPr>
        <w:t>Observación</w:t>
      </w:r>
      <w:r>
        <w:rPr>
          <w:rFonts w:ascii="Calibri" w:hAnsi="Calibri"/>
          <w:color w:val="1F497D"/>
          <w:sz w:val="22"/>
          <w:szCs w:val="22"/>
          <w:lang w:val="es-CL"/>
        </w:rPr>
        <w:t xml:space="preserve"> 1</w:t>
      </w:r>
      <w:r w:rsidRPr="00D72E43">
        <w:rPr>
          <w:rFonts w:ascii="Calibri" w:hAnsi="Calibri"/>
          <w:color w:val="1F497D"/>
          <w:sz w:val="22"/>
          <w:szCs w:val="22"/>
          <w:lang w:val="es-CL"/>
        </w:rPr>
        <w:t xml:space="preserve">: </w:t>
      </w:r>
      <w:r w:rsidRPr="00D72E43">
        <w:rPr>
          <w:rFonts w:ascii="Calibri" w:hAnsi="Calibri"/>
          <w:color w:val="1F497D"/>
          <w:sz w:val="22"/>
          <w:szCs w:val="22"/>
          <w:lang w:val="es-CL"/>
        </w:rPr>
        <w:tab/>
        <w:t>Párrafo 4.7.2: señala que se otorga un plazo de cinco días hábiles</w:t>
      </w:r>
      <w:r w:rsidRPr="00D72E43">
        <w:rPr>
          <w:lang w:val="es-CL"/>
        </w:rPr>
        <w:t xml:space="preserve"> “</w:t>
      </w:r>
      <w:r w:rsidRPr="00D72E43">
        <w:rPr>
          <w:rFonts w:ascii="Calibri" w:hAnsi="Calibri"/>
          <w:color w:val="1F497D"/>
          <w:sz w:val="22"/>
          <w:szCs w:val="22"/>
          <w:lang w:val="es-CL"/>
        </w:rPr>
        <w:t>para que subsane la falta y/o acompañe los documentos respectivos, o comunique su desistimiento, según sea el caso”. Se solicita que sean 10 (diez) días hábiles.</w:t>
      </w:r>
    </w:p>
    <w:p w:rsidR="00D72E43" w:rsidRDefault="00D72E43" w:rsidP="00D72E43">
      <w:pPr>
        <w:pStyle w:val="Prrafodelista"/>
        <w:ind w:left="1418" w:hanging="1418"/>
        <w:jc w:val="both"/>
        <w:rPr>
          <w:rFonts w:ascii="Calibri" w:hAnsi="Calibri"/>
          <w:color w:val="1F497D"/>
          <w:sz w:val="22"/>
          <w:szCs w:val="22"/>
          <w:lang w:val="es-CL"/>
        </w:rPr>
      </w:pPr>
      <w:r>
        <w:rPr>
          <w:rFonts w:ascii="Calibri" w:hAnsi="Calibri"/>
          <w:color w:val="1F497D"/>
          <w:sz w:val="22"/>
          <w:szCs w:val="22"/>
          <w:lang w:val="es-CL"/>
        </w:rPr>
        <w:t>Respuesta:</w:t>
      </w:r>
      <w:r>
        <w:rPr>
          <w:rFonts w:ascii="Calibri" w:hAnsi="Calibri"/>
          <w:color w:val="1F497D"/>
          <w:sz w:val="22"/>
          <w:szCs w:val="22"/>
          <w:lang w:val="es-CL"/>
        </w:rPr>
        <w:tab/>
        <w:t xml:space="preserve">Se accede a lo </w:t>
      </w:r>
      <w:r w:rsidR="005242FD">
        <w:rPr>
          <w:rFonts w:ascii="Calibri" w:hAnsi="Calibri"/>
          <w:color w:val="1F497D"/>
          <w:sz w:val="22"/>
          <w:szCs w:val="22"/>
          <w:lang w:val="es-CL"/>
        </w:rPr>
        <w:t xml:space="preserve">solicitado </w:t>
      </w:r>
    </w:p>
    <w:p w:rsidR="00D72E43" w:rsidRPr="00D72E43" w:rsidRDefault="00D72E43" w:rsidP="00D72E43">
      <w:pPr>
        <w:pStyle w:val="Prrafodelista"/>
        <w:tabs>
          <w:tab w:val="left" w:pos="2268"/>
        </w:tabs>
        <w:ind w:left="1418"/>
        <w:jc w:val="both"/>
        <w:rPr>
          <w:rFonts w:ascii="Calibri" w:hAnsi="Calibri"/>
          <w:color w:val="1F497D"/>
          <w:sz w:val="22"/>
          <w:szCs w:val="22"/>
          <w:lang w:val="es-CL"/>
        </w:rPr>
      </w:pPr>
    </w:p>
    <w:p w:rsidR="00D72E43" w:rsidRDefault="00D72E43" w:rsidP="00D72E43">
      <w:pPr>
        <w:tabs>
          <w:tab w:val="left" w:pos="2268"/>
        </w:tabs>
        <w:ind w:left="1418" w:hanging="1418"/>
        <w:jc w:val="both"/>
        <w:rPr>
          <w:rFonts w:ascii="Calibri" w:hAnsi="Calibri"/>
          <w:color w:val="1F497D"/>
          <w:sz w:val="22"/>
          <w:szCs w:val="22"/>
          <w:lang w:val="es-CL"/>
        </w:rPr>
      </w:pPr>
      <w:r>
        <w:rPr>
          <w:rFonts w:ascii="Calibri" w:hAnsi="Calibri"/>
          <w:color w:val="1F497D"/>
          <w:sz w:val="22"/>
          <w:szCs w:val="22"/>
          <w:lang w:val="es-CL"/>
        </w:rPr>
        <w:t>Observación 2:</w:t>
      </w:r>
      <w:r>
        <w:rPr>
          <w:rFonts w:ascii="Calibri" w:hAnsi="Calibri"/>
          <w:color w:val="1F497D"/>
          <w:sz w:val="22"/>
          <w:szCs w:val="22"/>
          <w:lang w:val="es-CL"/>
        </w:rPr>
        <w:tab/>
        <w:t>Párrafo 4.7.3: señala que “dentro de los 25  días hábiles siguientes a su recepción, se notificará al solicitante del inicio del procedimiento”. Sin embargo, no señala el plazo máximo que tiene el Servicio para que una solicitud aceptada sea resuelta y comunicada al solicitante.</w:t>
      </w:r>
    </w:p>
    <w:p w:rsidR="00D72E43" w:rsidRDefault="00710A48" w:rsidP="00D72E43">
      <w:pPr>
        <w:tabs>
          <w:tab w:val="left" w:pos="2268"/>
        </w:tabs>
        <w:ind w:left="1418" w:hanging="1418"/>
        <w:jc w:val="both"/>
        <w:rPr>
          <w:rFonts w:ascii="Calibri" w:hAnsi="Calibri"/>
          <w:color w:val="1F497D"/>
          <w:sz w:val="22"/>
          <w:szCs w:val="22"/>
          <w:lang w:val="es-CL"/>
        </w:rPr>
      </w:pPr>
      <w:r>
        <w:rPr>
          <w:rFonts w:ascii="Calibri" w:hAnsi="Calibri"/>
          <w:color w:val="1F497D"/>
          <w:sz w:val="22"/>
          <w:szCs w:val="22"/>
          <w:lang w:val="es-CL"/>
        </w:rPr>
        <w:t>Respuesta:</w:t>
      </w:r>
      <w:r>
        <w:rPr>
          <w:rFonts w:ascii="Calibri" w:hAnsi="Calibri"/>
          <w:color w:val="1F497D"/>
          <w:sz w:val="22"/>
          <w:szCs w:val="22"/>
          <w:lang w:val="es-CL"/>
        </w:rPr>
        <w:tab/>
        <w:t>La versión actualizada del proyecto contiene la siguiente norma que resuelve la observación:</w:t>
      </w:r>
    </w:p>
    <w:p w:rsidR="00D72E43" w:rsidRDefault="00710A48" w:rsidP="00710A48">
      <w:pPr>
        <w:tabs>
          <w:tab w:val="left" w:pos="2268"/>
        </w:tabs>
        <w:ind w:left="1418" w:hanging="1418"/>
        <w:jc w:val="both"/>
        <w:rPr>
          <w:rFonts w:ascii="Calibri" w:hAnsi="Calibri"/>
          <w:color w:val="1F497D"/>
          <w:sz w:val="22"/>
          <w:szCs w:val="22"/>
          <w:lang w:val="es-CL"/>
        </w:rPr>
      </w:pPr>
      <w:r>
        <w:rPr>
          <w:rFonts w:ascii="Calibri" w:hAnsi="Calibri"/>
          <w:color w:val="1F497D"/>
          <w:sz w:val="22"/>
          <w:szCs w:val="22"/>
          <w:lang w:val="es-CL"/>
        </w:rPr>
        <w:tab/>
        <w:t xml:space="preserve">“4.10.2  </w:t>
      </w:r>
      <w:r w:rsidR="00D72E43" w:rsidRPr="00710A48">
        <w:rPr>
          <w:rFonts w:ascii="Calibri" w:hAnsi="Calibri"/>
          <w:color w:val="1F497D"/>
          <w:sz w:val="22"/>
          <w:szCs w:val="22"/>
          <w:lang w:val="es-CL"/>
        </w:rPr>
        <w:t>El Director Nacional de Aduanas emitirá la resolución anticipada dentro del plazo de 90 días contados desde la fecha de notificación al solicitante del inicio del procedimiento. Este plazo se suspenderá en los casos contemplados en los numerales 4.8.1 y 4.8.2, anteriores</w:t>
      </w:r>
      <w:r>
        <w:rPr>
          <w:rFonts w:ascii="Calibri" w:hAnsi="Calibri"/>
          <w:color w:val="1F497D"/>
          <w:sz w:val="22"/>
          <w:szCs w:val="22"/>
          <w:lang w:val="es-CL"/>
        </w:rPr>
        <w:t>”</w:t>
      </w:r>
    </w:p>
    <w:p w:rsidR="00710A48" w:rsidRPr="00710A48" w:rsidRDefault="00710A48" w:rsidP="00710A48">
      <w:pPr>
        <w:tabs>
          <w:tab w:val="left" w:pos="2268"/>
        </w:tabs>
        <w:ind w:left="1418" w:hanging="1418"/>
        <w:jc w:val="both"/>
        <w:rPr>
          <w:rFonts w:ascii="Calibri" w:hAnsi="Calibri"/>
          <w:color w:val="1F497D"/>
          <w:sz w:val="22"/>
          <w:szCs w:val="22"/>
          <w:lang w:val="es-CL"/>
        </w:rPr>
      </w:pPr>
    </w:p>
    <w:p w:rsidR="00D72E43" w:rsidRDefault="00710A48" w:rsidP="002F079A">
      <w:pPr>
        <w:tabs>
          <w:tab w:val="left" w:pos="2268"/>
        </w:tabs>
        <w:ind w:left="1418" w:hanging="1418"/>
        <w:jc w:val="both"/>
        <w:rPr>
          <w:rFonts w:ascii="Calibri" w:hAnsi="Calibri"/>
          <w:color w:val="1F497D"/>
          <w:sz w:val="22"/>
          <w:szCs w:val="22"/>
          <w:lang w:val="es-CL"/>
        </w:rPr>
      </w:pPr>
      <w:r>
        <w:rPr>
          <w:rFonts w:ascii="Calibri" w:hAnsi="Calibri"/>
          <w:color w:val="1F497D"/>
          <w:sz w:val="22"/>
          <w:szCs w:val="22"/>
          <w:lang w:val="es-CL"/>
        </w:rPr>
        <w:t>Observación 3:</w:t>
      </w:r>
      <w:r>
        <w:rPr>
          <w:rFonts w:ascii="Calibri" w:hAnsi="Calibri"/>
          <w:color w:val="1F497D"/>
          <w:sz w:val="22"/>
          <w:szCs w:val="22"/>
          <w:lang w:val="es-CL"/>
        </w:rPr>
        <w:tab/>
      </w:r>
      <w:r w:rsidR="00D72E43">
        <w:rPr>
          <w:rFonts w:ascii="Calibri" w:hAnsi="Calibri"/>
          <w:color w:val="1F497D"/>
          <w:sz w:val="22"/>
          <w:szCs w:val="22"/>
          <w:lang w:val="es-CL"/>
        </w:rPr>
        <w:t>Párrafo 4.8.1: señala que “La Subdirección Técnica emitirá la resolución anticipada dentro del plazo de 90 días contados desde la fecha de notificación al solicitante del inicio del procedimiento”. Sumado al plazo de 25 días que tiene Aduana para notificar que se aceptó a trámite la Resolución Anticipada, son 4 meses de trámite. Estimamos que es un exceso y podrían ser menores los plazos.</w:t>
      </w:r>
    </w:p>
    <w:p w:rsidR="00710A48" w:rsidRPr="002F079A" w:rsidRDefault="00710A48" w:rsidP="002F079A">
      <w:pPr>
        <w:ind w:left="1418" w:hanging="1418"/>
        <w:jc w:val="both"/>
        <w:rPr>
          <w:rFonts w:ascii="Calibri" w:hAnsi="Calibri"/>
          <w:color w:val="1F497D"/>
          <w:sz w:val="22"/>
          <w:szCs w:val="22"/>
          <w:lang w:val="es-CL"/>
        </w:rPr>
      </w:pPr>
      <w:r>
        <w:rPr>
          <w:rFonts w:ascii="Calibri" w:hAnsi="Calibri"/>
          <w:color w:val="1F497D"/>
          <w:sz w:val="22"/>
          <w:szCs w:val="22"/>
          <w:lang w:val="es-CL"/>
        </w:rPr>
        <w:t>Respuesta:</w:t>
      </w:r>
      <w:r>
        <w:rPr>
          <w:rFonts w:ascii="Calibri" w:hAnsi="Calibri"/>
          <w:color w:val="1F497D"/>
          <w:sz w:val="22"/>
          <w:szCs w:val="22"/>
          <w:lang w:val="es-CL"/>
        </w:rPr>
        <w:tab/>
        <w:t xml:space="preserve">Estos plazos deben entenderse como plazos máximos, y se han establecido de forma tal que permitan abarcar las distintas </w:t>
      </w:r>
      <w:r w:rsidR="002F079A">
        <w:rPr>
          <w:rFonts w:ascii="Calibri" w:hAnsi="Calibri"/>
          <w:color w:val="1F497D"/>
          <w:sz w:val="22"/>
          <w:szCs w:val="22"/>
          <w:lang w:val="es-CL"/>
        </w:rPr>
        <w:t xml:space="preserve">materias por las cuales, y </w:t>
      </w:r>
      <w:r w:rsidR="002F079A" w:rsidRPr="002F079A">
        <w:rPr>
          <w:rFonts w:ascii="Calibri" w:hAnsi="Calibri"/>
          <w:color w:val="1F497D"/>
          <w:sz w:val="22"/>
          <w:szCs w:val="22"/>
          <w:lang w:val="es-CL"/>
        </w:rPr>
        <w:t>como consecuencia de la suscripción de diversos acuerdos internacionales, Chile se ha obligado a emitir resoluciones anticipadas</w:t>
      </w:r>
      <w:r w:rsidR="002F079A">
        <w:rPr>
          <w:rFonts w:ascii="Calibri" w:hAnsi="Calibri"/>
          <w:color w:val="1F497D"/>
          <w:sz w:val="22"/>
          <w:szCs w:val="22"/>
          <w:lang w:val="es-CL"/>
        </w:rPr>
        <w:t xml:space="preserve"> (Origen, Valor, etc.)</w:t>
      </w:r>
    </w:p>
    <w:p w:rsidR="00D72E43" w:rsidRDefault="00D72E43" w:rsidP="002F079A">
      <w:pPr>
        <w:tabs>
          <w:tab w:val="left" w:pos="2268"/>
        </w:tabs>
        <w:ind w:left="1418" w:hanging="1418"/>
        <w:jc w:val="both"/>
        <w:rPr>
          <w:rFonts w:ascii="Calibri" w:hAnsi="Calibri"/>
          <w:color w:val="1F497D"/>
          <w:sz w:val="22"/>
          <w:szCs w:val="22"/>
          <w:lang w:val="es-CL"/>
        </w:rPr>
      </w:pPr>
    </w:p>
    <w:p w:rsidR="00D72E43" w:rsidRDefault="002F079A" w:rsidP="002F079A">
      <w:pPr>
        <w:ind w:left="1418" w:hanging="1418"/>
        <w:jc w:val="both"/>
        <w:rPr>
          <w:rFonts w:ascii="Calibri" w:hAnsi="Calibri"/>
          <w:color w:val="1F497D"/>
          <w:sz w:val="22"/>
          <w:szCs w:val="22"/>
          <w:lang w:val="es-CL"/>
        </w:rPr>
      </w:pPr>
      <w:r>
        <w:rPr>
          <w:rFonts w:ascii="Calibri" w:hAnsi="Calibri"/>
          <w:color w:val="1F497D"/>
          <w:sz w:val="22"/>
          <w:szCs w:val="22"/>
          <w:lang w:val="es-CL"/>
        </w:rPr>
        <w:t>Observación 4:</w:t>
      </w:r>
      <w:r>
        <w:rPr>
          <w:rFonts w:ascii="Calibri" w:hAnsi="Calibri"/>
          <w:color w:val="1F497D"/>
          <w:sz w:val="22"/>
          <w:szCs w:val="22"/>
          <w:lang w:val="es-CL"/>
        </w:rPr>
        <w:tab/>
      </w:r>
      <w:r w:rsidR="00D72E43">
        <w:rPr>
          <w:rFonts w:ascii="Calibri" w:hAnsi="Calibri"/>
          <w:color w:val="1F497D"/>
          <w:sz w:val="22"/>
          <w:szCs w:val="22"/>
          <w:lang w:val="es-CL"/>
        </w:rPr>
        <w:t>Párrafo 4.9.1: señala que “La resolución anticipada tendrá una vigencia de tres años, contados desde la fecha de su emisión o desde una fecha posterior que se establezca en la propia resolución.” Una vez vencido este plazo, y en los casos en que los antecedentes de base para esta resolución anticipada no hayan sufrido cambios, sugerimos que se diseñe un procedimiento abreviado para evitar los largos plazos señalados precedentemente, dado que es una materia ya estudiada y resuelta.</w:t>
      </w:r>
    </w:p>
    <w:p w:rsidR="002F4B29" w:rsidRPr="002F079A" w:rsidRDefault="002F079A" w:rsidP="002F079A">
      <w:pPr>
        <w:ind w:left="1418" w:hanging="1418"/>
        <w:jc w:val="both"/>
        <w:rPr>
          <w:rFonts w:ascii="Calibri" w:hAnsi="Calibri"/>
          <w:color w:val="1F497D"/>
          <w:sz w:val="22"/>
          <w:szCs w:val="22"/>
          <w:lang w:val="es-CL"/>
        </w:rPr>
      </w:pPr>
      <w:r w:rsidRPr="002F079A">
        <w:rPr>
          <w:rFonts w:ascii="Calibri" w:hAnsi="Calibri"/>
          <w:color w:val="1F497D"/>
          <w:sz w:val="22"/>
          <w:szCs w:val="22"/>
          <w:lang w:val="es-CL"/>
        </w:rPr>
        <w:t>Respuesta</w:t>
      </w:r>
      <w:r>
        <w:rPr>
          <w:rFonts w:ascii="Calibri" w:hAnsi="Calibri"/>
          <w:color w:val="1F497D"/>
          <w:sz w:val="22"/>
          <w:szCs w:val="22"/>
          <w:lang w:val="es-CL"/>
        </w:rPr>
        <w:t>:</w:t>
      </w:r>
      <w:r>
        <w:rPr>
          <w:rFonts w:ascii="Calibri" w:hAnsi="Calibri"/>
          <w:color w:val="1F497D"/>
          <w:sz w:val="22"/>
          <w:szCs w:val="22"/>
          <w:lang w:val="es-CL"/>
        </w:rPr>
        <w:tab/>
        <w:t>Transcurrido un plazo de la aplicación del nuevo procedimiento, se ponderará la conveniencia de establecer un sistema para renovar una resolución anticipada.</w:t>
      </w:r>
      <w:r w:rsidRPr="002F079A">
        <w:rPr>
          <w:rFonts w:ascii="Calibri" w:hAnsi="Calibri"/>
          <w:color w:val="1F497D"/>
          <w:sz w:val="22"/>
          <w:szCs w:val="22"/>
          <w:lang w:val="es-CL"/>
        </w:rPr>
        <w:t xml:space="preserve"> </w:t>
      </w:r>
    </w:p>
    <w:sectPr w:rsidR="002F4B29" w:rsidRPr="002F079A" w:rsidSect="002F4B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E15"/>
    <w:multiLevelType w:val="hybridMultilevel"/>
    <w:tmpl w:val="28D84C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E43"/>
    <w:rsid w:val="002F079A"/>
    <w:rsid w:val="002F4B29"/>
    <w:rsid w:val="005242FD"/>
    <w:rsid w:val="005C6A78"/>
    <w:rsid w:val="00710A48"/>
    <w:rsid w:val="00A839D3"/>
    <w:rsid w:val="00D72E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43"/>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E43"/>
    <w:pPr>
      <w:ind w:left="720"/>
      <w:contextualSpacing/>
    </w:pPr>
  </w:style>
</w:styles>
</file>

<file path=word/webSettings.xml><?xml version="1.0" encoding="utf-8"?>
<w:webSettings xmlns:r="http://schemas.openxmlformats.org/officeDocument/2006/relationships" xmlns:w="http://schemas.openxmlformats.org/wordprocessingml/2006/main">
  <w:divs>
    <w:div w:id="1410467714">
      <w:bodyDiv w:val="1"/>
      <w:marLeft w:val="0"/>
      <w:marRight w:val="0"/>
      <w:marTop w:val="0"/>
      <w:marBottom w:val="0"/>
      <w:divBdr>
        <w:top w:val="none" w:sz="0" w:space="0" w:color="auto"/>
        <w:left w:val="none" w:sz="0" w:space="0" w:color="auto"/>
        <w:bottom w:val="none" w:sz="0" w:space="0" w:color="auto"/>
        <w:right w:val="none" w:sz="0" w:space="0" w:color="auto"/>
      </w:divBdr>
    </w:div>
    <w:div w:id="1419863521">
      <w:bodyDiv w:val="1"/>
      <w:marLeft w:val="0"/>
      <w:marRight w:val="0"/>
      <w:marTop w:val="0"/>
      <w:marBottom w:val="0"/>
      <w:divBdr>
        <w:top w:val="none" w:sz="0" w:space="0" w:color="auto"/>
        <w:left w:val="none" w:sz="0" w:space="0" w:color="auto"/>
        <w:bottom w:val="none" w:sz="0" w:space="0" w:color="auto"/>
        <w:right w:val="none" w:sz="0" w:space="0" w:color="auto"/>
      </w:divBdr>
    </w:div>
    <w:div w:id="1642231406">
      <w:bodyDiv w:val="1"/>
      <w:marLeft w:val="0"/>
      <w:marRight w:val="0"/>
      <w:marTop w:val="0"/>
      <w:marBottom w:val="0"/>
      <w:divBdr>
        <w:top w:val="none" w:sz="0" w:space="0" w:color="auto"/>
        <w:left w:val="none" w:sz="0" w:space="0" w:color="auto"/>
        <w:bottom w:val="none" w:sz="0" w:space="0" w:color="auto"/>
        <w:right w:val="none" w:sz="0" w:space="0" w:color="auto"/>
      </w:divBdr>
    </w:div>
    <w:div w:id="19411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Gioconda Jofre</dc:creator>
  <cp:keywords/>
  <dc:description/>
  <cp:lastModifiedBy>Gioconda Jofre</cp:lastModifiedBy>
  <cp:revision>2</cp:revision>
  <dcterms:created xsi:type="dcterms:W3CDTF">2014-08-06T15:17:00Z</dcterms:created>
  <dcterms:modified xsi:type="dcterms:W3CDTF">2014-08-06T15:17:00Z</dcterms:modified>
</cp:coreProperties>
</file>